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textAlignment w:val="baseline"/>
        <w:rPr>
          <w:rStyle w:val="10"/>
          <w:rFonts w:ascii="Times New Roman" w:hAnsi="Times New Roman" w:eastAsia="方正小标宋简体"/>
          <w:bCs/>
          <w:kern w:val="0"/>
          <w:sz w:val="44"/>
          <w:szCs w:val="44"/>
        </w:rPr>
      </w:pPr>
    </w:p>
    <w:p>
      <w:pPr>
        <w:widowControl/>
        <w:spacing w:line="560" w:lineRule="exact"/>
        <w:jc w:val="left"/>
        <w:textAlignment w:val="baseline"/>
        <w:rPr>
          <w:rFonts w:ascii="黑体" w:eastAsia="黑体" w:cs="黑体"/>
          <w:color w:val="000000"/>
          <w:sz w:val="36"/>
          <w:szCs w:val="36"/>
        </w:rPr>
      </w:pPr>
      <w:r>
        <w:rPr>
          <w:rFonts w:hint="eastAsia" w:ascii="黑体" w:eastAsia="黑体" w:cs="黑体"/>
          <w:color w:val="000000"/>
          <w:sz w:val="36"/>
          <w:szCs w:val="36"/>
        </w:rPr>
        <w:t>附件：</w:t>
      </w:r>
    </w:p>
    <w:p>
      <w:pPr>
        <w:widowControl/>
        <w:spacing w:line="560" w:lineRule="exact"/>
        <w:jc w:val="center"/>
        <w:textAlignment w:val="baseline"/>
        <w:rPr>
          <w:rStyle w:val="10"/>
          <w:rFonts w:ascii="Times New Roman" w:hAnsi="Times New Roman" w:eastAsia="方正小标宋简体"/>
          <w:bCs/>
          <w:kern w:val="0"/>
          <w:sz w:val="44"/>
          <w:szCs w:val="44"/>
        </w:rPr>
      </w:pPr>
      <w:r>
        <w:rPr>
          <w:rStyle w:val="10"/>
          <w:rFonts w:ascii="Times New Roman" w:hAnsi="Times New Roman" w:eastAsia="方正小标宋简体"/>
          <w:bCs/>
          <w:kern w:val="0"/>
          <w:sz w:val="44"/>
          <w:szCs w:val="44"/>
        </w:rPr>
        <w:t>2020年度中共常德市委老干部局</w:t>
      </w:r>
    </w:p>
    <w:p>
      <w:pPr>
        <w:widowControl/>
        <w:spacing w:line="560" w:lineRule="exact"/>
        <w:jc w:val="center"/>
        <w:textAlignment w:val="baseline"/>
        <w:rPr>
          <w:rStyle w:val="10"/>
          <w:rFonts w:ascii="Times New Roman" w:hAnsi="Times New Roman" w:eastAsia="方正小标宋简体"/>
          <w:bCs/>
          <w:kern w:val="0"/>
          <w:sz w:val="44"/>
          <w:szCs w:val="44"/>
        </w:rPr>
      </w:pPr>
      <w:r>
        <w:rPr>
          <w:rStyle w:val="10"/>
          <w:rFonts w:ascii="Times New Roman" w:hAnsi="Times New Roman" w:eastAsia="方正小标宋简体"/>
          <w:bCs/>
          <w:kern w:val="0"/>
          <w:sz w:val="44"/>
          <w:szCs w:val="44"/>
        </w:rPr>
        <w:t>部门整体支出绩效自评报告</w:t>
      </w:r>
    </w:p>
    <w:p>
      <w:pPr>
        <w:widowControl/>
        <w:spacing w:line="560" w:lineRule="exact"/>
        <w:ind w:firstLine="640"/>
        <w:rPr>
          <w:rFonts w:ascii="Times New Roman" w:hAnsi="Times New Roman" w:eastAsia="仿宋_GB2312"/>
          <w:color w:val="222222"/>
          <w:kern w:val="0"/>
          <w:sz w:val="32"/>
          <w:szCs w:val="32"/>
        </w:rPr>
      </w:pPr>
    </w:p>
    <w:p>
      <w:pPr>
        <w:widowControl/>
        <w:spacing w:line="560" w:lineRule="exact"/>
        <w:ind w:firstLine="640"/>
        <w:rPr>
          <w:rFonts w:ascii="黑体" w:hAnsi="黑体" w:eastAsia="黑体"/>
          <w:sz w:val="32"/>
          <w:szCs w:val="32"/>
        </w:rPr>
      </w:pPr>
      <w:r>
        <w:rPr>
          <w:rFonts w:ascii="黑体" w:hAnsi="黑体" w:eastAsia="黑体"/>
          <w:sz w:val="32"/>
          <w:szCs w:val="32"/>
        </w:rPr>
        <w:t>一、部门概况</w:t>
      </w:r>
    </w:p>
    <w:p>
      <w:pPr>
        <w:widowControl/>
        <w:spacing w:line="560" w:lineRule="exact"/>
        <w:ind w:firstLine="640"/>
        <w:rPr>
          <w:rFonts w:ascii="Times New Roman" w:hAnsi="Times New Roman" w:eastAsia="楷体"/>
          <w:color w:val="222222"/>
          <w:kern w:val="0"/>
          <w:sz w:val="32"/>
          <w:szCs w:val="32"/>
        </w:rPr>
      </w:pPr>
      <w:r>
        <w:rPr>
          <w:rFonts w:ascii="Times New Roman" w:hAnsi="Times New Roman" w:eastAsia="楷体"/>
          <w:color w:val="222222"/>
          <w:kern w:val="0"/>
          <w:sz w:val="32"/>
          <w:szCs w:val="32"/>
        </w:rPr>
        <w:t>（一） 机构、人员构成</w:t>
      </w:r>
    </w:p>
    <w:p>
      <w:pPr>
        <w:spacing w:line="560" w:lineRule="exact"/>
        <w:ind w:firstLine="640" w:firstLineChars="200"/>
        <w:rPr>
          <w:rFonts w:ascii="Times New Roman" w:hAnsi="Times New Roman" w:eastAsia="仿宋"/>
          <w:bCs/>
          <w:kern w:val="0"/>
          <w:sz w:val="32"/>
          <w:szCs w:val="32"/>
        </w:rPr>
      </w:pPr>
      <w:r>
        <w:rPr>
          <w:rFonts w:ascii="Times New Roman" w:hAnsi="Times New Roman" w:eastAsia="仿宋"/>
          <w:color w:val="000000"/>
          <w:kern w:val="0"/>
          <w:sz w:val="32"/>
          <w:szCs w:val="32"/>
        </w:rPr>
        <w:t>我局内设5个职能科（室）：办公室、待遇保障科、党工委办公室、调研宣传科、关工委办公室。辖属1个副处级全额拨款事业单位（参照公务员管理）：市老干部活动中心（老年大学）。</w:t>
      </w:r>
    </w:p>
    <w:p>
      <w:pPr>
        <w:spacing w:line="560" w:lineRule="exact"/>
        <w:ind w:firstLine="640" w:firstLineChars="200"/>
        <w:rPr>
          <w:rFonts w:ascii="Times New Roman" w:hAnsi="Times New Roman" w:eastAsia="仿宋"/>
          <w:color w:val="000000"/>
          <w:kern w:val="0"/>
          <w:sz w:val="32"/>
          <w:szCs w:val="32"/>
        </w:rPr>
      </w:pPr>
      <w:r>
        <w:rPr>
          <w:rFonts w:ascii="Times New Roman" w:hAnsi="Times New Roman" w:eastAsia="仿宋"/>
          <w:color w:val="000000"/>
          <w:kern w:val="0"/>
          <w:sz w:val="32"/>
          <w:szCs w:val="32"/>
        </w:rPr>
        <w:t>我局共有编制38人，其中，行政编制15人，参公管理事业人员编制2</w:t>
      </w:r>
      <w:r>
        <w:rPr>
          <w:rFonts w:hint="eastAsia" w:ascii="Times New Roman" w:hAnsi="Times New Roman" w:eastAsia="仿宋"/>
          <w:color w:val="000000"/>
          <w:kern w:val="0"/>
          <w:sz w:val="32"/>
          <w:szCs w:val="32"/>
        </w:rPr>
        <w:t>3</w:t>
      </w:r>
      <w:r>
        <w:rPr>
          <w:rFonts w:ascii="Times New Roman" w:hAnsi="Times New Roman" w:eastAsia="仿宋"/>
          <w:color w:val="000000"/>
          <w:kern w:val="0"/>
          <w:sz w:val="32"/>
          <w:szCs w:val="32"/>
        </w:rPr>
        <w:t>人。截止2020年12月，实有在职人员36人，其中局机关15人，老干部活动中心21人；离退休人员数14人。</w:t>
      </w:r>
    </w:p>
    <w:p>
      <w:pPr>
        <w:widowControl/>
        <w:spacing w:line="560" w:lineRule="exact"/>
        <w:ind w:firstLine="640"/>
        <w:rPr>
          <w:rFonts w:ascii="Times New Roman" w:hAnsi="Times New Roman" w:eastAsia="楷体"/>
          <w:color w:val="222222"/>
          <w:kern w:val="0"/>
          <w:sz w:val="32"/>
          <w:szCs w:val="32"/>
        </w:rPr>
      </w:pPr>
      <w:r>
        <w:rPr>
          <w:rFonts w:ascii="Times New Roman" w:hAnsi="Times New Roman" w:eastAsia="楷体"/>
          <w:color w:val="222222"/>
          <w:kern w:val="0"/>
          <w:sz w:val="32"/>
          <w:szCs w:val="32"/>
        </w:rPr>
        <w:t>（二） 单位主要职责</w:t>
      </w:r>
    </w:p>
    <w:p>
      <w:pPr>
        <w:spacing w:line="560" w:lineRule="exact"/>
        <w:ind w:firstLine="640" w:firstLineChars="200"/>
        <w:rPr>
          <w:rFonts w:ascii="Times New Roman" w:hAnsi="Times New Roman" w:eastAsia="仿宋"/>
          <w:kern w:val="0"/>
          <w:sz w:val="32"/>
          <w:szCs w:val="32"/>
        </w:rPr>
      </w:pPr>
      <w:r>
        <w:rPr>
          <w:rFonts w:ascii="Times New Roman" w:hAnsi="Times New Roman" w:eastAsia="仿宋"/>
          <w:color w:val="000000"/>
          <w:kern w:val="0"/>
          <w:sz w:val="32"/>
          <w:szCs w:val="32"/>
        </w:rPr>
        <w:t>我局为市委工作机关，由市委组织部统一领导和管理，围绕坚持和完善老干部工作制度，推动老干部工作更好融入和服务全市治理体系和治理能力现代化进程来开展工作。</w:t>
      </w:r>
    </w:p>
    <w:p>
      <w:pPr>
        <w:spacing w:line="560" w:lineRule="exact"/>
        <w:ind w:firstLine="640" w:firstLineChars="200"/>
        <w:rPr>
          <w:rFonts w:ascii="Times New Roman" w:hAnsi="Times New Roman" w:eastAsia="仿宋"/>
          <w:color w:val="000000"/>
          <w:kern w:val="0"/>
          <w:sz w:val="32"/>
          <w:szCs w:val="32"/>
        </w:rPr>
      </w:pPr>
      <w:r>
        <w:rPr>
          <w:rFonts w:ascii="Times New Roman" w:hAnsi="Times New Roman" w:eastAsia="仿宋"/>
          <w:bCs/>
          <w:color w:val="000000"/>
          <w:kern w:val="0"/>
          <w:sz w:val="32"/>
          <w:szCs w:val="32"/>
        </w:rPr>
        <w:t>1.</w:t>
      </w:r>
      <w:r>
        <w:rPr>
          <w:rFonts w:ascii="Times New Roman" w:hAnsi="Times New Roman" w:eastAsia="仿宋"/>
          <w:color w:val="000000"/>
          <w:kern w:val="0"/>
          <w:sz w:val="32"/>
          <w:szCs w:val="32"/>
        </w:rPr>
        <w:t>贯彻执行党中央、国务院和省委、省政府关于老干部工作的方针、政策和法规，制定实施办法和细则，开展调查研究，为市委、市政府制定有关老干部工作的政策规定提供情况和依据。</w:t>
      </w:r>
    </w:p>
    <w:p>
      <w:pPr>
        <w:spacing w:line="560" w:lineRule="exact"/>
        <w:ind w:firstLine="640" w:firstLineChars="200"/>
        <w:rPr>
          <w:rFonts w:ascii="Times New Roman" w:hAnsi="Times New Roman" w:eastAsia="仿宋"/>
          <w:color w:val="000000"/>
          <w:kern w:val="0"/>
          <w:sz w:val="32"/>
          <w:szCs w:val="32"/>
        </w:rPr>
      </w:pPr>
      <w:r>
        <w:rPr>
          <w:rFonts w:ascii="Times New Roman" w:hAnsi="Times New Roman" w:eastAsia="仿宋"/>
          <w:bCs/>
          <w:color w:val="000000"/>
          <w:kern w:val="0"/>
          <w:sz w:val="32"/>
          <w:szCs w:val="32"/>
        </w:rPr>
        <w:t>2.</w:t>
      </w:r>
      <w:r>
        <w:rPr>
          <w:rFonts w:ascii="Times New Roman" w:hAnsi="Times New Roman" w:eastAsia="仿宋"/>
          <w:color w:val="000000"/>
          <w:kern w:val="0"/>
          <w:sz w:val="32"/>
          <w:szCs w:val="32"/>
        </w:rPr>
        <w:t>负责对全市老干部工作的督查、指导和协调，督促老干部政治待遇和生活待遇的落实，组织指导老干部开展活动、发挥作用。加强对市直两个置换企业离休干部管理的指导，做好厅级以上退休干部的服务指导工作。</w:t>
      </w:r>
    </w:p>
    <w:p>
      <w:pPr>
        <w:spacing w:line="560" w:lineRule="exact"/>
        <w:ind w:firstLine="640" w:firstLineChars="200"/>
        <w:rPr>
          <w:rFonts w:ascii="Times New Roman" w:hAnsi="Times New Roman" w:eastAsia="仿宋"/>
          <w:color w:val="000000"/>
          <w:kern w:val="0"/>
          <w:sz w:val="32"/>
          <w:szCs w:val="32"/>
        </w:rPr>
      </w:pPr>
      <w:r>
        <w:rPr>
          <w:rFonts w:ascii="Times New Roman" w:hAnsi="Times New Roman" w:eastAsia="仿宋"/>
          <w:bCs/>
          <w:color w:val="000000"/>
          <w:kern w:val="0"/>
          <w:sz w:val="32"/>
          <w:szCs w:val="32"/>
        </w:rPr>
        <w:t>3.</w:t>
      </w:r>
      <w:r>
        <w:rPr>
          <w:rFonts w:ascii="Times New Roman" w:hAnsi="Times New Roman" w:eastAsia="仿宋"/>
          <w:color w:val="000000"/>
          <w:kern w:val="0"/>
          <w:sz w:val="32"/>
          <w:szCs w:val="32"/>
        </w:rPr>
        <w:t>指导、督查离退休干部的党组织建设，做好老干部思想政治工作，加强老干部的学习教育。</w:t>
      </w:r>
    </w:p>
    <w:p>
      <w:pPr>
        <w:spacing w:line="560" w:lineRule="exact"/>
        <w:ind w:firstLine="640" w:firstLineChars="200"/>
        <w:rPr>
          <w:rFonts w:ascii="Times New Roman" w:hAnsi="Times New Roman" w:eastAsia="仿宋"/>
          <w:color w:val="000000"/>
          <w:kern w:val="0"/>
          <w:sz w:val="32"/>
          <w:szCs w:val="32"/>
        </w:rPr>
      </w:pPr>
      <w:r>
        <w:rPr>
          <w:rFonts w:ascii="Times New Roman" w:hAnsi="Times New Roman" w:eastAsia="仿宋"/>
          <w:bCs/>
          <w:color w:val="000000"/>
          <w:kern w:val="0"/>
          <w:sz w:val="32"/>
          <w:szCs w:val="32"/>
        </w:rPr>
        <w:t>4.</w:t>
      </w:r>
      <w:r>
        <w:rPr>
          <w:rFonts w:ascii="Times New Roman" w:hAnsi="Times New Roman" w:eastAsia="仿宋"/>
          <w:color w:val="000000"/>
          <w:kern w:val="0"/>
          <w:sz w:val="32"/>
          <w:szCs w:val="32"/>
        </w:rPr>
        <w:t>负责老干部和老干部工作的宣传，开展尊老、敬老、爱老活动，依法维护老干部的合法权益。</w:t>
      </w:r>
    </w:p>
    <w:p>
      <w:pPr>
        <w:spacing w:line="560" w:lineRule="exact"/>
        <w:ind w:firstLine="640" w:firstLineChars="200"/>
        <w:rPr>
          <w:rFonts w:ascii="Times New Roman" w:hAnsi="Times New Roman" w:eastAsia="仿宋"/>
          <w:color w:val="000000"/>
          <w:kern w:val="0"/>
          <w:sz w:val="32"/>
          <w:szCs w:val="32"/>
        </w:rPr>
      </w:pPr>
      <w:r>
        <w:rPr>
          <w:rFonts w:ascii="Times New Roman" w:hAnsi="Times New Roman" w:eastAsia="仿宋"/>
          <w:bCs/>
          <w:color w:val="000000"/>
          <w:kern w:val="0"/>
          <w:sz w:val="32"/>
          <w:szCs w:val="32"/>
        </w:rPr>
        <w:t>5.</w:t>
      </w:r>
      <w:r>
        <w:rPr>
          <w:rFonts w:ascii="Times New Roman" w:hAnsi="Times New Roman" w:eastAsia="仿宋"/>
          <w:color w:val="000000"/>
          <w:kern w:val="0"/>
          <w:sz w:val="32"/>
          <w:szCs w:val="32"/>
        </w:rPr>
        <w:t>指导全市老干部工作部门的自身建设工作。</w:t>
      </w:r>
    </w:p>
    <w:p>
      <w:pPr>
        <w:spacing w:line="560" w:lineRule="exact"/>
        <w:ind w:firstLine="640" w:firstLineChars="200"/>
        <w:rPr>
          <w:rFonts w:ascii="Times New Roman" w:hAnsi="Times New Roman" w:eastAsia="仿宋"/>
          <w:color w:val="000000"/>
          <w:kern w:val="0"/>
          <w:sz w:val="32"/>
          <w:szCs w:val="32"/>
        </w:rPr>
      </w:pPr>
      <w:r>
        <w:rPr>
          <w:rFonts w:ascii="Times New Roman" w:hAnsi="Times New Roman" w:eastAsia="仿宋"/>
          <w:bCs/>
          <w:color w:val="000000"/>
          <w:kern w:val="0"/>
          <w:sz w:val="32"/>
          <w:szCs w:val="32"/>
        </w:rPr>
        <w:t>6.</w:t>
      </w:r>
      <w:r>
        <w:rPr>
          <w:rFonts w:ascii="Times New Roman" w:hAnsi="Times New Roman" w:eastAsia="仿宋"/>
          <w:color w:val="000000"/>
          <w:kern w:val="0"/>
          <w:sz w:val="32"/>
          <w:szCs w:val="32"/>
        </w:rPr>
        <w:t>按照有关规定，做好来常老干部的接待服务工作。</w:t>
      </w:r>
    </w:p>
    <w:p>
      <w:pPr>
        <w:spacing w:line="560" w:lineRule="exact"/>
        <w:ind w:firstLine="640" w:firstLineChars="200"/>
        <w:rPr>
          <w:rFonts w:ascii="Times New Roman" w:hAnsi="Times New Roman" w:eastAsia="仿宋"/>
          <w:color w:val="000000"/>
          <w:kern w:val="0"/>
          <w:sz w:val="32"/>
          <w:szCs w:val="32"/>
        </w:rPr>
      </w:pPr>
      <w:r>
        <w:rPr>
          <w:rFonts w:ascii="Times New Roman" w:hAnsi="Times New Roman" w:eastAsia="仿宋"/>
          <w:bCs/>
          <w:color w:val="000000"/>
          <w:kern w:val="0"/>
          <w:sz w:val="32"/>
          <w:szCs w:val="32"/>
        </w:rPr>
        <w:t>7.</w:t>
      </w:r>
      <w:r>
        <w:rPr>
          <w:rFonts w:ascii="Times New Roman" w:hAnsi="Times New Roman" w:eastAsia="仿宋"/>
          <w:color w:val="000000"/>
          <w:kern w:val="0"/>
          <w:sz w:val="32"/>
          <w:szCs w:val="32"/>
        </w:rPr>
        <w:t>承担市委老干部工作领导小组办公室的日常工作。</w:t>
      </w:r>
    </w:p>
    <w:p>
      <w:pPr>
        <w:spacing w:line="560" w:lineRule="exact"/>
        <w:ind w:firstLine="640" w:firstLineChars="200"/>
        <w:rPr>
          <w:rFonts w:ascii="Times New Roman" w:hAnsi="Times New Roman" w:eastAsia="仿宋"/>
          <w:color w:val="000000"/>
          <w:kern w:val="0"/>
          <w:sz w:val="32"/>
          <w:szCs w:val="32"/>
        </w:rPr>
      </w:pPr>
      <w:r>
        <w:rPr>
          <w:rFonts w:ascii="Times New Roman" w:hAnsi="Times New Roman" w:eastAsia="仿宋"/>
          <w:bCs/>
          <w:color w:val="000000"/>
          <w:kern w:val="0"/>
          <w:sz w:val="32"/>
          <w:szCs w:val="32"/>
        </w:rPr>
        <w:t>8.</w:t>
      </w:r>
      <w:r>
        <w:rPr>
          <w:rFonts w:ascii="Times New Roman" w:hAnsi="Times New Roman" w:eastAsia="仿宋"/>
          <w:color w:val="000000"/>
          <w:kern w:val="0"/>
          <w:sz w:val="32"/>
          <w:szCs w:val="32"/>
        </w:rPr>
        <w:t>承担市关心下一代工作委员会的日常工作。</w:t>
      </w:r>
    </w:p>
    <w:p>
      <w:pPr>
        <w:spacing w:line="560" w:lineRule="exact"/>
        <w:ind w:firstLine="640" w:firstLineChars="200"/>
        <w:rPr>
          <w:rFonts w:ascii="Times New Roman" w:hAnsi="Times New Roman" w:eastAsia="仿宋"/>
          <w:color w:val="000000"/>
          <w:kern w:val="0"/>
          <w:sz w:val="32"/>
          <w:szCs w:val="32"/>
        </w:rPr>
      </w:pPr>
      <w:r>
        <w:rPr>
          <w:rFonts w:ascii="Times New Roman" w:hAnsi="Times New Roman" w:eastAsia="仿宋"/>
          <w:bCs/>
          <w:color w:val="000000"/>
          <w:kern w:val="0"/>
          <w:sz w:val="32"/>
          <w:szCs w:val="32"/>
        </w:rPr>
        <w:t>9.</w:t>
      </w:r>
      <w:r>
        <w:rPr>
          <w:rFonts w:ascii="Times New Roman" w:hAnsi="Times New Roman" w:eastAsia="仿宋"/>
          <w:color w:val="000000"/>
          <w:kern w:val="0"/>
          <w:sz w:val="32"/>
          <w:szCs w:val="32"/>
        </w:rPr>
        <w:t>承担市委离退休干部工委的日常工作。</w:t>
      </w:r>
    </w:p>
    <w:p>
      <w:pPr>
        <w:spacing w:line="560" w:lineRule="exact"/>
        <w:ind w:firstLine="640" w:firstLineChars="200"/>
        <w:rPr>
          <w:rFonts w:ascii="Times New Roman" w:hAnsi="Times New Roman" w:eastAsia="仿宋"/>
          <w:color w:val="000000"/>
          <w:kern w:val="0"/>
          <w:sz w:val="32"/>
          <w:szCs w:val="32"/>
        </w:rPr>
      </w:pPr>
      <w:r>
        <w:rPr>
          <w:rFonts w:ascii="Times New Roman" w:hAnsi="Times New Roman" w:eastAsia="仿宋"/>
          <w:bCs/>
          <w:color w:val="000000"/>
          <w:kern w:val="0"/>
          <w:sz w:val="32"/>
          <w:szCs w:val="32"/>
        </w:rPr>
        <w:t>10.</w:t>
      </w:r>
      <w:r>
        <w:rPr>
          <w:rFonts w:ascii="Times New Roman" w:hAnsi="Times New Roman" w:eastAsia="仿宋"/>
          <w:color w:val="000000"/>
          <w:kern w:val="0"/>
          <w:sz w:val="32"/>
          <w:szCs w:val="32"/>
        </w:rPr>
        <w:t>负责对所属事业单位的管理和监督，充分发挥各种场地和设施的作用，发展老干部事业。</w:t>
      </w:r>
    </w:p>
    <w:p>
      <w:pPr>
        <w:spacing w:line="560" w:lineRule="exact"/>
        <w:ind w:firstLine="640" w:firstLineChars="200"/>
        <w:rPr>
          <w:rFonts w:ascii="Times New Roman" w:hAnsi="Times New Roman" w:eastAsia="仿宋"/>
          <w:color w:val="222222"/>
          <w:kern w:val="0"/>
          <w:sz w:val="32"/>
          <w:szCs w:val="32"/>
        </w:rPr>
      </w:pPr>
      <w:r>
        <w:rPr>
          <w:rFonts w:ascii="Times New Roman" w:hAnsi="Times New Roman" w:eastAsia="仿宋"/>
          <w:b/>
          <w:color w:val="000000"/>
          <w:kern w:val="0"/>
          <w:sz w:val="32"/>
          <w:szCs w:val="32"/>
        </w:rPr>
        <w:t>11</w:t>
      </w:r>
      <w:r>
        <w:rPr>
          <w:rFonts w:ascii="Times New Roman" w:hAnsi="Times New Roman" w:eastAsia="仿宋"/>
          <w:color w:val="000000"/>
          <w:kern w:val="0"/>
          <w:sz w:val="32"/>
          <w:szCs w:val="32"/>
        </w:rPr>
        <w:t>.承办市委和市委组织部交办的其他事项。</w:t>
      </w:r>
    </w:p>
    <w:p>
      <w:pPr>
        <w:widowControl/>
        <w:spacing w:line="560" w:lineRule="exact"/>
        <w:ind w:firstLine="640"/>
        <w:rPr>
          <w:rFonts w:ascii="黑体" w:hAnsi="黑体" w:eastAsia="黑体"/>
          <w:sz w:val="32"/>
          <w:szCs w:val="32"/>
        </w:rPr>
      </w:pPr>
      <w:r>
        <w:rPr>
          <w:rFonts w:ascii="黑体" w:hAnsi="黑体" w:eastAsia="黑体"/>
          <w:sz w:val="32"/>
          <w:szCs w:val="32"/>
        </w:rPr>
        <w:t>二、部门财务情况</w:t>
      </w:r>
    </w:p>
    <w:p>
      <w:pPr>
        <w:widowControl/>
        <w:spacing w:line="560" w:lineRule="exact"/>
        <w:ind w:firstLine="640"/>
        <w:rPr>
          <w:rFonts w:ascii="Times New Roman" w:hAnsi="Times New Roman" w:eastAsia="楷体"/>
          <w:color w:val="222222"/>
          <w:kern w:val="0"/>
          <w:sz w:val="32"/>
          <w:szCs w:val="32"/>
        </w:rPr>
      </w:pPr>
      <w:r>
        <w:rPr>
          <w:rFonts w:ascii="Times New Roman" w:hAnsi="Times New Roman" w:eastAsia="楷体"/>
          <w:color w:val="222222"/>
          <w:kern w:val="0"/>
          <w:sz w:val="32"/>
          <w:szCs w:val="32"/>
        </w:rPr>
        <w:t>（一）部门整体支出情况</w:t>
      </w:r>
    </w:p>
    <w:p>
      <w:pPr>
        <w:autoSpaceDE w:val="0"/>
        <w:autoSpaceDN w:val="0"/>
        <w:adjustRightInd w:val="0"/>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我局决算报表反映，上年结转364.07万元；2020年度总收入1737.79万元，其中：财政拨款收入1737.79万元,总支出2025.86万元，其中：基本支出792.63万元，项目支出1233.23万元；年末结转结余76万元。</w:t>
      </w:r>
    </w:p>
    <w:p>
      <w:pPr>
        <w:widowControl/>
        <w:spacing w:line="560" w:lineRule="exact"/>
        <w:ind w:firstLine="640"/>
        <w:rPr>
          <w:rFonts w:ascii="Times New Roman" w:hAnsi="Times New Roman" w:eastAsia="楷体"/>
          <w:color w:val="222222"/>
          <w:kern w:val="0"/>
          <w:sz w:val="32"/>
          <w:szCs w:val="32"/>
        </w:rPr>
      </w:pPr>
      <w:r>
        <w:rPr>
          <w:rFonts w:ascii="Times New Roman" w:hAnsi="Times New Roman" w:eastAsia="楷体"/>
          <w:color w:val="222222"/>
          <w:kern w:val="0"/>
          <w:sz w:val="32"/>
          <w:szCs w:val="32"/>
        </w:rPr>
        <w:t>（二）部门预算收支决算情况</w:t>
      </w:r>
    </w:p>
    <w:p>
      <w:pPr>
        <w:autoSpaceDE w:val="0"/>
        <w:autoSpaceDN w:val="0"/>
        <w:adjustRightInd w:val="0"/>
        <w:spacing w:line="560" w:lineRule="exact"/>
        <w:ind w:firstLine="960" w:firstLineChars="300"/>
        <w:rPr>
          <w:rFonts w:ascii="Times New Roman" w:hAnsi="Times New Roman" w:eastAsia="仿宋"/>
          <w:b/>
          <w:sz w:val="32"/>
          <w:szCs w:val="32"/>
        </w:rPr>
      </w:pPr>
      <w:r>
        <w:rPr>
          <w:rFonts w:ascii="Times New Roman" w:hAnsi="Times New Roman" w:eastAsia="仿宋"/>
          <w:bCs/>
          <w:color w:val="000000"/>
          <w:kern w:val="0"/>
          <w:sz w:val="32"/>
          <w:szCs w:val="32"/>
        </w:rPr>
        <w:t>1.</w:t>
      </w:r>
      <w:r>
        <w:rPr>
          <w:rFonts w:ascii="Times New Roman" w:hAnsi="Times New Roman" w:eastAsia="仿宋"/>
          <w:b/>
          <w:sz w:val="32"/>
          <w:szCs w:val="32"/>
        </w:rPr>
        <w:t>收入支出预算安排情况（与上年预算对比分析）</w:t>
      </w:r>
    </w:p>
    <w:p>
      <w:pPr>
        <w:autoSpaceDE w:val="0"/>
        <w:autoSpaceDN w:val="0"/>
        <w:adjustRightInd w:val="0"/>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2020年年初预算收入1546.48万元，2019年年初预算收入1530.45万元，比上年预算收入增加16.03万元，增长1.05%，增长</w:t>
      </w:r>
      <w:r>
        <w:rPr>
          <w:rFonts w:ascii="Times New Roman" w:hAnsi="Times New Roman" w:eastAsia="仿宋"/>
          <w:sz w:val="32"/>
          <w:szCs w:val="32"/>
          <w:lang w:val="zh-CN"/>
        </w:rPr>
        <w:t>的主要原因是</w:t>
      </w:r>
      <w:r>
        <w:rPr>
          <w:rFonts w:ascii="Times New Roman" w:hAnsi="Times New Roman" w:eastAsia="仿宋"/>
          <w:sz w:val="32"/>
          <w:szCs w:val="32"/>
        </w:rPr>
        <w:t>一般公共预算财政拨款收入增加；除此外本单位无政府性基金预算财政拨款收入、上级补助收入、事业收入、经营收入、附属单位上缴收入等收入项目。年度执行中因单位人数变动及单位事权调整，预算跟随调整情况，收入调整预算数为1737.79万元。</w:t>
      </w:r>
    </w:p>
    <w:p>
      <w:pPr>
        <w:autoSpaceDE w:val="0"/>
        <w:autoSpaceDN w:val="0"/>
        <w:adjustRightInd w:val="0"/>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2020年年初预算支出1546.48万元,2019年年初预算支出1530.45万元，比上年预算支出增加16.03万元，增长1.05%，增减变化的主要原因是：政策性调增。其中：基本支出年初预算696.22万元，比上年减少3.97万元，下降0.57%；项目支出年初预算850.26万元，比上年增长20万元，增长2.41%。因项目预算增加，跟随政策性调整。支出调整预算数为1233.23万元（含非税130万元）。</w:t>
      </w:r>
    </w:p>
    <w:p>
      <w:pPr>
        <w:autoSpaceDE w:val="0"/>
        <w:autoSpaceDN w:val="0"/>
        <w:adjustRightInd w:val="0"/>
        <w:spacing w:line="560" w:lineRule="exact"/>
        <w:ind w:firstLine="640" w:firstLineChars="200"/>
        <w:rPr>
          <w:rFonts w:ascii="Times New Roman" w:hAnsi="Times New Roman" w:eastAsia="仿宋"/>
          <w:b/>
          <w:sz w:val="32"/>
          <w:szCs w:val="32"/>
        </w:rPr>
      </w:pPr>
      <w:r>
        <w:rPr>
          <w:rFonts w:ascii="Times New Roman" w:hAnsi="Times New Roman" w:eastAsia="仿宋"/>
          <w:sz w:val="32"/>
          <w:szCs w:val="32"/>
        </w:rPr>
        <w:t>2.</w:t>
      </w:r>
      <w:r>
        <w:rPr>
          <w:rFonts w:ascii="Times New Roman" w:hAnsi="Times New Roman" w:eastAsia="仿宋"/>
          <w:b/>
          <w:sz w:val="32"/>
          <w:szCs w:val="32"/>
        </w:rPr>
        <w:t>收入支出预算执行情况（与上年决算对比分析）</w:t>
      </w:r>
    </w:p>
    <w:p>
      <w:pPr>
        <w:autoSpaceDE w:val="0"/>
        <w:autoSpaceDN w:val="0"/>
        <w:adjustRightInd w:val="0"/>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2020年收入实际完成1737.79万元，2019年收入实际完成2167.95万元，比上年减少430.16万元减少19.84%。其中：一般公共预算财政拨款收入完成1737.79万元（含纳入预算的非税收入），比上年减少417.14万元，下降19.36%，主要原因是：1、因新冠疫情影响，老年大学未开学，非税收入为零，净减少120万元；2、年末结转收入净减少288万元，主要是由于财政的政策性收回指标。</w:t>
      </w:r>
    </w:p>
    <w:p>
      <w:pPr>
        <w:autoSpaceDE w:val="0"/>
        <w:autoSpaceDN w:val="0"/>
        <w:adjustRightInd w:val="0"/>
        <w:spacing w:line="560" w:lineRule="exact"/>
        <w:ind w:firstLine="640" w:firstLineChars="200"/>
        <w:rPr>
          <w:rFonts w:ascii="Times New Roman" w:hAnsi="Times New Roman" w:eastAsia="仿宋"/>
          <w:b/>
          <w:sz w:val="32"/>
          <w:szCs w:val="32"/>
        </w:rPr>
      </w:pPr>
      <w:r>
        <w:rPr>
          <w:rFonts w:ascii="Times New Roman" w:hAnsi="Times New Roman" w:eastAsia="仿宋"/>
          <w:sz w:val="32"/>
          <w:szCs w:val="32"/>
        </w:rPr>
        <w:t>2020年支出2025.86万元，2019年支出1945.93万元，比上年增加79.93万元，增加4.11%；其中基本支出792.62万元，比上年减少110.69万元，减少12.25%，减少原因政策性压缩公用经费开支。但是项目支出增加了190.63万元，增长18.28万元。主要为老年大学教学楼电梯维修支出和吸音工程改造。</w:t>
      </w:r>
    </w:p>
    <w:p>
      <w:pPr>
        <w:autoSpaceDE w:val="0"/>
        <w:autoSpaceDN w:val="0"/>
        <w:adjustRightInd w:val="0"/>
        <w:spacing w:line="560" w:lineRule="exact"/>
        <w:ind w:firstLine="640" w:firstLineChars="200"/>
        <w:jc w:val="left"/>
        <w:rPr>
          <w:rFonts w:ascii="Times New Roman" w:hAnsi="Times New Roman" w:eastAsia="仿宋"/>
          <w:b/>
          <w:sz w:val="32"/>
          <w:szCs w:val="32"/>
        </w:rPr>
      </w:pPr>
      <w:r>
        <w:rPr>
          <w:rFonts w:ascii="Times New Roman" w:hAnsi="Times New Roman" w:eastAsia="仿宋"/>
          <w:sz w:val="32"/>
          <w:szCs w:val="32"/>
        </w:rPr>
        <w:t>3.</w:t>
      </w:r>
      <w:r>
        <w:rPr>
          <w:rFonts w:ascii="Times New Roman" w:hAnsi="Times New Roman" w:eastAsia="仿宋"/>
          <w:b/>
          <w:sz w:val="32"/>
          <w:szCs w:val="32"/>
        </w:rPr>
        <w:t>本年收入支出与预算对比分析</w:t>
      </w:r>
    </w:p>
    <w:tbl>
      <w:tblPr>
        <w:tblStyle w:val="4"/>
        <w:tblW w:w="9170" w:type="dxa"/>
        <w:tblInd w:w="91" w:type="dxa"/>
        <w:tblLayout w:type="autofit"/>
        <w:tblCellMar>
          <w:top w:w="0" w:type="dxa"/>
          <w:left w:w="108" w:type="dxa"/>
          <w:bottom w:w="0" w:type="dxa"/>
          <w:right w:w="108" w:type="dxa"/>
        </w:tblCellMar>
      </w:tblPr>
      <w:tblGrid>
        <w:gridCol w:w="2093"/>
        <w:gridCol w:w="1204"/>
        <w:gridCol w:w="1147"/>
        <w:gridCol w:w="927"/>
        <w:gridCol w:w="1224"/>
        <w:gridCol w:w="2575"/>
      </w:tblGrid>
      <w:tr>
        <w:tblPrEx>
          <w:tblCellMar>
            <w:top w:w="0" w:type="dxa"/>
            <w:left w:w="108" w:type="dxa"/>
            <w:bottom w:w="0" w:type="dxa"/>
            <w:right w:w="108" w:type="dxa"/>
          </w:tblCellMar>
        </w:tblPrEx>
        <w:trPr>
          <w:trHeight w:val="630" w:hRule="atLeast"/>
        </w:trPr>
        <w:tc>
          <w:tcPr>
            <w:tcW w:w="20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项目</w:t>
            </w:r>
          </w:p>
        </w:tc>
        <w:tc>
          <w:tcPr>
            <w:tcW w:w="1204"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2020预算</w:t>
            </w:r>
          </w:p>
        </w:tc>
        <w:tc>
          <w:tcPr>
            <w:tcW w:w="1147"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2020决算</w:t>
            </w:r>
          </w:p>
        </w:tc>
        <w:tc>
          <w:tcPr>
            <w:tcW w:w="927"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增减额</w:t>
            </w:r>
          </w:p>
        </w:tc>
        <w:tc>
          <w:tcPr>
            <w:tcW w:w="1224"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增减比例</w:t>
            </w:r>
          </w:p>
        </w:tc>
        <w:tc>
          <w:tcPr>
            <w:tcW w:w="2575"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变动原因</w:t>
            </w:r>
          </w:p>
        </w:tc>
      </w:tr>
      <w:tr>
        <w:tblPrEx>
          <w:tblCellMar>
            <w:top w:w="0" w:type="dxa"/>
            <w:left w:w="108" w:type="dxa"/>
            <w:bottom w:w="0" w:type="dxa"/>
            <w:right w:w="108" w:type="dxa"/>
          </w:tblCellMar>
        </w:tblPrEx>
        <w:trPr>
          <w:trHeight w:val="1350" w:hRule="atLeast"/>
        </w:trPr>
        <w:tc>
          <w:tcPr>
            <w:tcW w:w="2093" w:type="dxa"/>
            <w:tcBorders>
              <w:top w:val="nil"/>
              <w:left w:val="single" w:color="auto" w:sz="4" w:space="0"/>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一、财政拨款预算收入</w:t>
            </w:r>
          </w:p>
        </w:tc>
        <w:tc>
          <w:tcPr>
            <w:tcW w:w="1204"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1546.48</w:t>
            </w:r>
          </w:p>
        </w:tc>
        <w:tc>
          <w:tcPr>
            <w:tcW w:w="1147"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1737.79</w:t>
            </w:r>
          </w:p>
        </w:tc>
        <w:tc>
          <w:tcPr>
            <w:tcW w:w="927"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191.31</w:t>
            </w:r>
          </w:p>
        </w:tc>
        <w:tc>
          <w:tcPr>
            <w:tcW w:w="1224"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12.37%</w:t>
            </w:r>
          </w:p>
        </w:tc>
        <w:tc>
          <w:tcPr>
            <w:tcW w:w="2575" w:type="dxa"/>
            <w:tcBorders>
              <w:top w:val="nil"/>
              <w:left w:val="nil"/>
              <w:bottom w:val="single" w:color="auto" w:sz="4" w:space="0"/>
              <w:right w:val="single" w:color="auto" w:sz="4" w:space="0"/>
            </w:tcBorders>
            <w:shd w:val="clear" w:color="000000" w:fill="FFFFFF"/>
            <w:vAlign w:val="center"/>
          </w:tcPr>
          <w:p>
            <w:pPr>
              <w:widowControl/>
              <w:spacing w:line="560" w:lineRule="exact"/>
              <w:jc w:val="left"/>
              <w:rPr>
                <w:rFonts w:ascii="Times New Roman" w:hAnsi="Times New Roman" w:eastAsia="仿宋"/>
                <w:color w:val="000000"/>
                <w:kern w:val="0"/>
                <w:sz w:val="24"/>
                <w:szCs w:val="24"/>
              </w:rPr>
            </w:pPr>
            <w:r>
              <w:rPr>
                <w:rFonts w:ascii="Times New Roman" w:hAnsi="Times New Roman" w:eastAsia="仿宋"/>
                <w:color w:val="000000"/>
                <w:kern w:val="0"/>
                <w:sz w:val="24"/>
                <w:szCs w:val="24"/>
              </w:rPr>
              <w:t>老年大学房屋设备维修改造、涉老社团的专项开支、离退休老干等经费追加。</w:t>
            </w:r>
          </w:p>
        </w:tc>
      </w:tr>
      <w:tr>
        <w:tblPrEx>
          <w:tblCellMar>
            <w:top w:w="0" w:type="dxa"/>
            <w:left w:w="108" w:type="dxa"/>
            <w:bottom w:w="0" w:type="dxa"/>
            <w:right w:w="108" w:type="dxa"/>
          </w:tblCellMar>
        </w:tblPrEx>
        <w:trPr>
          <w:trHeight w:val="1415" w:hRule="atLeast"/>
        </w:trPr>
        <w:tc>
          <w:tcPr>
            <w:tcW w:w="2093" w:type="dxa"/>
            <w:tcBorders>
              <w:top w:val="nil"/>
              <w:left w:val="single" w:color="auto" w:sz="4" w:space="0"/>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二、一般公共服务支出</w:t>
            </w:r>
          </w:p>
        </w:tc>
        <w:tc>
          <w:tcPr>
            <w:tcW w:w="1204"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1546.48</w:t>
            </w:r>
          </w:p>
        </w:tc>
        <w:tc>
          <w:tcPr>
            <w:tcW w:w="1147"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2025.86</w:t>
            </w:r>
          </w:p>
        </w:tc>
        <w:tc>
          <w:tcPr>
            <w:tcW w:w="927"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479.38</w:t>
            </w:r>
          </w:p>
        </w:tc>
        <w:tc>
          <w:tcPr>
            <w:tcW w:w="1224"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31.00%</w:t>
            </w:r>
          </w:p>
        </w:tc>
        <w:tc>
          <w:tcPr>
            <w:tcW w:w="2575" w:type="dxa"/>
            <w:tcBorders>
              <w:top w:val="nil"/>
              <w:left w:val="nil"/>
              <w:bottom w:val="single" w:color="auto" w:sz="4" w:space="0"/>
              <w:right w:val="single" w:color="auto" w:sz="4" w:space="0"/>
            </w:tcBorders>
            <w:shd w:val="clear" w:color="000000" w:fill="FFFFFF"/>
            <w:vAlign w:val="center"/>
          </w:tcPr>
          <w:p>
            <w:pPr>
              <w:widowControl/>
              <w:spacing w:line="560" w:lineRule="exact"/>
              <w:jc w:val="left"/>
              <w:rPr>
                <w:rFonts w:ascii="Times New Roman" w:hAnsi="Times New Roman" w:eastAsia="仿宋"/>
                <w:color w:val="000000"/>
                <w:kern w:val="0"/>
                <w:sz w:val="24"/>
                <w:szCs w:val="24"/>
              </w:rPr>
            </w:pPr>
            <w:r>
              <w:rPr>
                <w:rFonts w:ascii="Times New Roman" w:hAnsi="Times New Roman" w:eastAsia="仿宋"/>
                <w:color w:val="000000"/>
                <w:kern w:val="0"/>
                <w:sz w:val="24"/>
                <w:szCs w:val="24"/>
              </w:rPr>
              <w:t>老年大学房屋设备维修改造、涉老社团的专项开支、离退休老干、关工委经费等追加。</w:t>
            </w:r>
          </w:p>
        </w:tc>
      </w:tr>
      <w:tr>
        <w:tblPrEx>
          <w:tblCellMar>
            <w:top w:w="0" w:type="dxa"/>
            <w:left w:w="108" w:type="dxa"/>
            <w:bottom w:w="0" w:type="dxa"/>
            <w:right w:w="108" w:type="dxa"/>
          </w:tblCellMar>
        </w:tblPrEx>
        <w:trPr>
          <w:trHeight w:val="414" w:hRule="atLeast"/>
        </w:trPr>
        <w:tc>
          <w:tcPr>
            <w:tcW w:w="2093" w:type="dxa"/>
            <w:tcBorders>
              <w:top w:val="nil"/>
              <w:left w:val="single" w:color="auto" w:sz="4" w:space="0"/>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 xml:space="preserve">  （一）基本支出</w:t>
            </w:r>
          </w:p>
        </w:tc>
        <w:tc>
          <w:tcPr>
            <w:tcW w:w="1204"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696.22</w:t>
            </w:r>
          </w:p>
        </w:tc>
        <w:tc>
          <w:tcPr>
            <w:tcW w:w="1147"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792.62</w:t>
            </w:r>
          </w:p>
        </w:tc>
        <w:tc>
          <w:tcPr>
            <w:tcW w:w="927"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96.4</w:t>
            </w:r>
          </w:p>
        </w:tc>
        <w:tc>
          <w:tcPr>
            <w:tcW w:w="1224"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13.85%</w:t>
            </w:r>
          </w:p>
        </w:tc>
        <w:tc>
          <w:tcPr>
            <w:tcW w:w="2575" w:type="dxa"/>
            <w:tcBorders>
              <w:top w:val="nil"/>
              <w:left w:val="nil"/>
              <w:bottom w:val="single" w:color="auto" w:sz="4" w:space="0"/>
              <w:right w:val="single" w:color="auto" w:sz="4" w:space="0"/>
            </w:tcBorders>
            <w:shd w:val="clear" w:color="000000" w:fill="FFFFFF"/>
            <w:vAlign w:val="center"/>
          </w:tcPr>
          <w:p>
            <w:pPr>
              <w:widowControl/>
              <w:spacing w:line="560" w:lineRule="exact"/>
              <w:jc w:val="left"/>
              <w:rPr>
                <w:rFonts w:ascii="Times New Roman" w:hAnsi="Times New Roman" w:eastAsia="仿宋"/>
                <w:color w:val="000000"/>
                <w:kern w:val="0"/>
                <w:sz w:val="24"/>
                <w:szCs w:val="24"/>
              </w:rPr>
            </w:pPr>
            <w:r>
              <w:rPr>
                <w:rFonts w:ascii="Times New Roman" w:hAnsi="Times New Roman" w:eastAsia="仿宋"/>
                <w:color w:val="000000"/>
                <w:kern w:val="0"/>
                <w:sz w:val="24"/>
                <w:szCs w:val="24"/>
              </w:rPr>
              <w:t>人员经费政策性调增。</w:t>
            </w:r>
          </w:p>
        </w:tc>
      </w:tr>
      <w:tr>
        <w:tblPrEx>
          <w:tblCellMar>
            <w:top w:w="0" w:type="dxa"/>
            <w:left w:w="108" w:type="dxa"/>
            <w:bottom w:w="0" w:type="dxa"/>
            <w:right w:w="108" w:type="dxa"/>
          </w:tblCellMar>
        </w:tblPrEx>
        <w:trPr>
          <w:trHeight w:val="549" w:hRule="atLeast"/>
        </w:trPr>
        <w:tc>
          <w:tcPr>
            <w:tcW w:w="2093" w:type="dxa"/>
            <w:tcBorders>
              <w:top w:val="nil"/>
              <w:left w:val="single" w:color="auto" w:sz="4" w:space="0"/>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 xml:space="preserve"> 1、人员经费支出</w:t>
            </w:r>
          </w:p>
        </w:tc>
        <w:tc>
          <w:tcPr>
            <w:tcW w:w="1204"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571.82</w:t>
            </w:r>
          </w:p>
        </w:tc>
        <w:tc>
          <w:tcPr>
            <w:tcW w:w="1147"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681.19</w:t>
            </w:r>
          </w:p>
        </w:tc>
        <w:tc>
          <w:tcPr>
            <w:tcW w:w="927"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109.37</w:t>
            </w:r>
          </w:p>
        </w:tc>
        <w:tc>
          <w:tcPr>
            <w:tcW w:w="1224"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19.13%</w:t>
            </w:r>
          </w:p>
        </w:tc>
        <w:tc>
          <w:tcPr>
            <w:tcW w:w="2575" w:type="dxa"/>
            <w:tcBorders>
              <w:top w:val="nil"/>
              <w:left w:val="nil"/>
              <w:bottom w:val="single" w:color="auto" w:sz="4" w:space="0"/>
              <w:right w:val="single" w:color="auto" w:sz="4" w:space="0"/>
            </w:tcBorders>
            <w:shd w:val="clear" w:color="000000" w:fill="FFFFFF"/>
            <w:vAlign w:val="center"/>
          </w:tcPr>
          <w:p>
            <w:pPr>
              <w:widowControl/>
              <w:spacing w:line="560" w:lineRule="exact"/>
              <w:jc w:val="left"/>
              <w:rPr>
                <w:rFonts w:ascii="Times New Roman" w:hAnsi="Times New Roman" w:eastAsia="仿宋"/>
                <w:color w:val="000000"/>
                <w:kern w:val="0"/>
                <w:sz w:val="24"/>
                <w:szCs w:val="24"/>
              </w:rPr>
            </w:pPr>
            <w:r>
              <w:rPr>
                <w:rFonts w:ascii="Times New Roman" w:hAnsi="Times New Roman" w:eastAsia="仿宋"/>
                <w:color w:val="000000"/>
                <w:kern w:val="0"/>
                <w:sz w:val="24"/>
                <w:szCs w:val="24"/>
              </w:rPr>
              <w:t>人员经费政策性调增。</w:t>
            </w:r>
          </w:p>
        </w:tc>
      </w:tr>
      <w:tr>
        <w:tblPrEx>
          <w:tblCellMar>
            <w:top w:w="0" w:type="dxa"/>
            <w:left w:w="108" w:type="dxa"/>
            <w:bottom w:w="0" w:type="dxa"/>
            <w:right w:w="108" w:type="dxa"/>
          </w:tblCellMar>
        </w:tblPrEx>
        <w:trPr>
          <w:trHeight w:val="570" w:hRule="atLeast"/>
        </w:trPr>
        <w:tc>
          <w:tcPr>
            <w:tcW w:w="2093" w:type="dxa"/>
            <w:tcBorders>
              <w:top w:val="nil"/>
              <w:left w:val="single" w:color="auto" w:sz="4" w:space="0"/>
              <w:bottom w:val="nil"/>
              <w:right w:val="single" w:color="auto" w:sz="4" w:space="0"/>
            </w:tcBorders>
            <w:shd w:val="clear" w:color="000000" w:fill="FFFFFF"/>
            <w:vAlign w:val="center"/>
          </w:tcPr>
          <w:p>
            <w:pPr>
              <w:widowControl/>
              <w:spacing w:line="560" w:lineRule="exact"/>
              <w:ind w:firstLine="120" w:firstLineChars="50"/>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2、日常公用</w:t>
            </w:r>
          </w:p>
        </w:tc>
        <w:tc>
          <w:tcPr>
            <w:tcW w:w="1204" w:type="dxa"/>
            <w:tcBorders>
              <w:top w:val="nil"/>
              <w:left w:val="nil"/>
              <w:bottom w:val="nil"/>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124.4</w:t>
            </w:r>
          </w:p>
        </w:tc>
        <w:tc>
          <w:tcPr>
            <w:tcW w:w="1147" w:type="dxa"/>
            <w:tcBorders>
              <w:top w:val="nil"/>
              <w:left w:val="nil"/>
              <w:bottom w:val="nil"/>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111.43</w:t>
            </w:r>
          </w:p>
        </w:tc>
        <w:tc>
          <w:tcPr>
            <w:tcW w:w="927" w:type="dxa"/>
            <w:tcBorders>
              <w:top w:val="nil"/>
              <w:left w:val="nil"/>
              <w:bottom w:val="nil"/>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-12.97</w:t>
            </w:r>
          </w:p>
        </w:tc>
        <w:tc>
          <w:tcPr>
            <w:tcW w:w="1224" w:type="dxa"/>
            <w:tcBorders>
              <w:top w:val="nil"/>
              <w:left w:val="nil"/>
              <w:bottom w:val="nil"/>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-10.43%</w:t>
            </w:r>
          </w:p>
        </w:tc>
        <w:tc>
          <w:tcPr>
            <w:tcW w:w="2575" w:type="dxa"/>
            <w:tcBorders>
              <w:top w:val="nil"/>
              <w:left w:val="nil"/>
              <w:bottom w:val="nil"/>
              <w:right w:val="single" w:color="auto" w:sz="4" w:space="0"/>
            </w:tcBorders>
            <w:shd w:val="clear" w:color="000000" w:fill="FFFFFF"/>
            <w:noWrap/>
            <w:vAlign w:val="center"/>
          </w:tcPr>
          <w:p>
            <w:pPr>
              <w:widowControl/>
              <w:spacing w:line="560" w:lineRule="exact"/>
              <w:jc w:val="left"/>
              <w:rPr>
                <w:rFonts w:ascii="Times New Roman" w:hAnsi="Times New Roman" w:eastAsia="仿宋"/>
                <w:color w:val="000000"/>
                <w:kern w:val="0"/>
                <w:sz w:val="24"/>
                <w:szCs w:val="24"/>
              </w:rPr>
            </w:pPr>
            <w:r>
              <w:rPr>
                <w:rFonts w:ascii="Times New Roman" w:hAnsi="Times New Roman" w:eastAsia="仿宋"/>
                <w:color w:val="000000"/>
                <w:kern w:val="0"/>
                <w:sz w:val="24"/>
                <w:szCs w:val="24"/>
              </w:rPr>
              <w:t>政策性调减。</w:t>
            </w:r>
          </w:p>
        </w:tc>
      </w:tr>
      <w:tr>
        <w:tblPrEx>
          <w:tblCellMar>
            <w:top w:w="0" w:type="dxa"/>
            <w:left w:w="108" w:type="dxa"/>
            <w:bottom w:w="0" w:type="dxa"/>
            <w:right w:w="108" w:type="dxa"/>
          </w:tblCellMar>
        </w:tblPrEx>
        <w:trPr>
          <w:trHeight w:val="416" w:hRule="atLeast"/>
        </w:trPr>
        <w:tc>
          <w:tcPr>
            <w:tcW w:w="20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办公费</w:t>
            </w:r>
          </w:p>
        </w:tc>
        <w:tc>
          <w:tcPr>
            <w:tcW w:w="1204"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9</w:t>
            </w:r>
          </w:p>
        </w:tc>
        <w:tc>
          <w:tcPr>
            <w:tcW w:w="1147"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8.5</w:t>
            </w:r>
          </w:p>
        </w:tc>
        <w:tc>
          <w:tcPr>
            <w:tcW w:w="927"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-0.5</w:t>
            </w:r>
          </w:p>
        </w:tc>
        <w:tc>
          <w:tcPr>
            <w:tcW w:w="1224"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p>
        </w:tc>
        <w:tc>
          <w:tcPr>
            <w:tcW w:w="2575"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left"/>
              <w:rPr>
                <w:rFonts w:ascii="Times New Roman" w:hAnsi="Times New Roman" w:eastAsia="仿宋"/>
                <w:color w:val="000000"/>
                <w:kern w:val="0"/>
                <w:sz w:val="24"/>
                <w:szCs w:val="24"/>
              </w:rPr>
            </w:pPr>
          </w:p>
        </w:tc>
      </w:tr>
      <w:tr>
        <w:tblPrEx>
          <w:tblCellMar>
            <w:top w:w="0" w:type="dxa"/>
            <w:left w:w="108" w:type="dxa"/>
            <w:bottom w:w="0" w:type="dxa"/>
            <w:right w:w="108" w:type="dxa"/>
          </w:tblCellMar>
        </w:tblPrEx>
        <w:trPr>
          <w:trHeight w:val="416" w:hRule="atLeast"/>
        </w:trPr>
        <w:tc>
          <w:tcPr>
            <w:tcW w:w="20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印刷费</w:t>
            </w:r>
          </w:p>
        </w:tc>
        <w:tc>
          <w:tcPr>
            <w:tcW w:w="1204"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2</w:t>
            </w:r>
          </w:p>
        </w:tc>
        <w:tc>
          <w:tcPr>
            <w:tcW w:w="1147"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1.26</w:t>
            </w:r>
          </w:p>
        </w:tc>
        <w:tc>
          <w:tcPr>
            <w:tcW w:w="927"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-0.74</w:t>
            </w:r>
          </w:p>
        </w:tc>
        <w:tc>
          <w:tcPr>
            <w:tcW w:w="1224"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p>
        </w:tc>
        <w:tc>
          <w:tcPr>
            <w:tcW w:w="2575"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left"/>
              <w:rPr>
                <w:rFonts w:ascii="Times New Roman" w:hAnsi="Times New Roman" w:eastAsia="仿宋"/>
                <w:color w:val="000000"/>
                <w:kern w:val="0"/>
                <w:sz w:val="24"/>
                <w:szCs w:val="24"/>
              </w:rPr>
            </w:pPr>
          </w:p>
        </w:tc>
      </w:tr>
      <w:tr>
        <w:tblPrEx>
          <w:tblCellMar>
            <w:top w:w="0" w:type="dxa"/>
            <w:left w:w="108" w:type="dxa"/>
            <w:bottom w:w="0" w:type="dxa"/>
            <w:right w:w="108" w:type="dxa"/>
          </w:tblCellMar>
        </w:tblPrEx>
        <w:trPr>
          <w:trHeight w:val="416" w:hRule="atLeast"/>
        </w:trPr>
        <w:tc>
          <w:tcPr>
            <w:tcW w:w="20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水电费</w:t>
            </w:r>
          </w:p>
        </w:tc>
        <w:tc>
          <w:tcPr>
            <w:tcW w:w="1204"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7</w:t>
            </w:r>
          </w:p>
        </w:tc>
        <w:tc>
          <w:tcPr>
            <w:tcW w:w="1147"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6.08</w:t>
            </w:r>
          </w:p>
        </w:tc>
        <w:tc>
          <w:tcPr>
            <w:tcW w:w="927"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-0.92</w:t>
            </w:r>
          </w:p>
        </w:tc>
        <w:tc>
          <w:tcPr>
            <w:tcW w:w="1224"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p>
        </w:tc>
        <w:tc>
          <w:tcPr>
            <w:tcW w:w="2575"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left"/>
              <w:rPr>
                <w:rFonts w:ascii="Times New Roman" w:hAnsi="Times New Roman" w:eastAsia="仿宋"/>
                <w:color w:val="000000"/>
                <w:kern w:val="0"/>
                <w:sz w:val="24"/>
                <w:szCs w:val="24"/>
              </w:rPr>
            </w:pPr>
          </w:p>
        </w:tc>
      </w:tr>
      <w:tr>
        <w:tblPrEx>
          <w:tblCellMar>
            <w:top w:w="0" w:type="dxa"/>
            <w:left w:w="108" w:type="dxa"/>
            <w:bottom w:w="0" w:type="dxa"/>
            <w:right w:w="108" w:type="dxa"/>
          </w:tblCellMar>
        </w:tblPrEx>
        <w:trPr>
          <w:trHeight w:val="416" w:hRule="atLeast"/>
        </w:trPr>
        <w:tc>
          <w:tcPr>
            <w:tcW w:w="20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邮电费</w:t>
            </w:r>
          </w:p>
        </w:tc>
        <w:tc>
          <w:tcPr>
            <w:tcW w:w="1204"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6</w:t>
            </w:r>
          </w:p>
        </w:tc>
        <w:tc>
          <w:tcPr>
            <w:tcW w:w="1147"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5.1</w:t>
            </w:r>
          </w:p>
        </w:tc>
        <w:tc>
          <w:tcPr>
            <w:tcW w:w="927"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-0.9</w:t>
            </w:r>
          </w:p>
        </w:tc>
        <w:tc>
          <w:tcPr>
            <w:tcW w:w="1224"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p>
        </w:tc>
        <w:tc>
          <w:tcPr>
            <w:tcW w:w="2575"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left"/>
              <w:rPr>
                <w:rFonts w:ascii="Times New Roman" w:hAnsi="Times New Roman" w:eastAsia="仿宋"/>
                <w:color w:val="000000"/>
                <w:kern w:val="0"/>
                <w:sz w:val="24"/>
                <w:szCs w:val="24"/>
              </w:rPr>
            </w:pPr>
          </w:p>
        </w:tc>
      </w:tr>
      <w:tr>
        <w:tblPrEx>
          <w:tblCellMar>
            <w:top w:w="0" w:type="dxa"/>
            <w:left w:w="108" w:type="dxa"/>
            <w:bottom w:w="0" w:type="dxa"/>
            <w:right w:w="108" w:type="dxa"/>
          </w:tblCellMar>
        </w:tblPrEx>
        <w:trPr>
          <w:trHeight w:val="416" w:hRule="atLeast"/>
        </w:trPr>
        <w:tc>
          <w:tcPr>
            <w:tcW w:w="20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差旅费</w:t>
            </w:r>
          </w:p>
        </w:tc>
        <w:tc>
          <w:tcPr>
            <w:tcW w:w="1204"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2</w:t>
            </w:r>
          </w:p>
        </w:tc>
        <w:tc>
          <w:tcPr>
            <w:tcW w:w="1147"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1.32</w:t>
            </w:r>
          </w:p>
        </w:tc>
        <w:tc>
          <w:tcPr>
            <w:tcW w:w="927"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-0.68</w:t>
            </w:r>
          </w:p>
        </w:tc>
        <w:tc>
          <w:tcPr>
            <w:tcW w:w="1224"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p>
        </w:tc>
        <w:tc>
          <w:tcPr>
            <w:tcW w:w="2575"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left"/>
              <w:rPr>
                <w:rFonts w:ascii="Times New Roman" w:hAnsi="Times New Roman" w:eastAsia="仿宋"/>
                <w:color w:val="000000"/>
                <w:kern w:val="0"/>
                <w:sz w:val="24"/>
                <w:szCs w:val="24"/>
              </w:rPr>
            </w:pPr>
          </w:p>
        </w:tc>
      </w:tr>
      <w:tr>
        <w:tblPrEx>
          <w:tblCellMar>
            <w:top w:w="0" w:type="dxa"/>
            <w:left w:w="108" w:type="dxa"/>
            <w:bottom w:w="0" w:type="dxa"/>
            <w:right w:w="108" w:type="dxa"/>
          </w:tblCellMar>
        </w:tblPrEx>
        <w:trPr>
          <w:trHeight w:val="416" w:hRule="atLeast"/>
        </w:trPr>
        <w:tc>
          <w:tcPr>
            <w:tcW w:w="20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维修（护）费</w:t>
            </w:r>
          </w:p>
        </w:tc>
        <w:tc>
          <w:tcPr>
            <w:tcW w:w="1204"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3</w:t>
            </w:r>
          </w:p>
        </w:tc>
        <w:tc>
          <w:tcPr>
            <w:tcW w:w="1147"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2.95</w:t>
            </w:r>
          </w:p>
        </w:tc>
        <w:tc>
          <w:tcPr>
            <w:tcW w:w="927"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-0.05</w:t>
            </w:r>
          </w:p>
        </w:tc>
        <w:tc>
          <w:tcPr>
            <w:tcW w:w="1224"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p>
        </w:tc>
        <w:tc>
          <w:tcPr>
            <w:tcW w:w="2575"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left"/>
              <w:rPr>
                <w:rFonts w:ascii="Times New Roman" w:hAnsi="Times New Roman" w:eastAsia="仿宋"/>
                <w:color w:val="000000"/>
                <w:kern w:val="0"/>
                <w:sz w:val="24"/>
                <w:szCs w:val="24"/>
              </w:rPr>
            </w:pPr>
          </w:p>
        </w:tc>
      </w:tr>
      <w:tr>
        <w:tblPrEx>
          <w:tblCellMar>
            <w:top w:w="0" w:type="dxa"/>
            <w:left w:w="108" w:type="dxa"/>
            <w:bottom w:w="0" w:type="dxa"/>
            <w:right w:w="108" w:type="dxa"/>
          </w:tblCellMar>
        </w:tblPrEx>
        <w:trPr>
          <w:trHeight w:val="416" w:hRule="atLeast"/>
        </w:trPr>
        <w:tc>
          <w:tcPr>
            <w:tcW w:w="20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会议费</w:t>
            </w:r>
          </w:p>
        </w:tc>
        <w:tc>
          <w:tcPr>
            <w:tcW w:w="1204"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w:t>
            </w:r>
          </w:p>
        </w:tc>
        <w:tc>
          <w:tcPr>
            <w:tcW w:w="1147"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p>
        </w:tc>
        <w:tc>
          <w:tcPr>
            <w:tcW w:w="927"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w:t>
            </w:r>
          </w:p>
        </w:tc>
        <w:tc>
          <w:tcPr>
            <w:tcW w:w="1224"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p>
        </w:tc>
        <w:tc>
          <w:tcPr>
            <w:tcW w:w="2575"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left"/>
              <w:rPr>
                <w:rFonts w:ascii="Times New Roman" w:hAnsi="Times New Roman" w:eastAsia="仿宋"/>
                <w:color w:val="000000"/>
                <w:kern w:val="0"/>
                <w:sz w:val="24"/>
                <w:szCs w:val="24"/>
              </w:rPr>
            </w:pPr>
          </w:p>
        </w:tc>
      </w:tr>
      <w:tr>
        <w:tblPrEx>
          <w:tblCellMar>
            <w:top w:w="0" w:type="dxa"/>
            <w:left w:w="108" w:type="dxa"/>
            <w:bottom w:w="0" w:type="dxa"/>
            <w:right w:w="108" w:type="dxa"/>
          </w:tblCellMar>
        </w:tblPrEx>
        <w:trPr>
          <w:trHeight w:val="416" w:hRule="atLeast"/>
        </w:trPr>
        <w:tc>
          <w:tcPr>
            <w:tcW w:w="20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公务接待费</w:t>
            </w:r>
          </w:p>
        </w:tc>
        <w:tc>
          <w:tcPr>
            <w:tcW w:w="1204"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4</w:t>
            </w:r>
          </w:p>
        </w:tc>
        <w:tc>
          <w:tcPr>
            <w:tcW w:w="1147"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3.8</w:t>
            </w:r>
          </w:p>
        </w:tc>
        <w:tc>
          <w:tcPr>
            <w:tcW w:w="927"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-0.2</w:t>
            </w:r>
          </w:p>
        </w:tc>
        <w:tc>
          <w:tcPr>
            <w:tcW w:w="1224"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p>
        </w:tc>
        <w:tc>
          <w:tcPr>
            <w:tcW w:w="2575"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left"/>
              <w:rPr>
                <w:rFonts w:ascii="Times New Roman" w:hAnsi="Times New Roman" w:eastAsia="仿宋"/>
                <w:color w:val="000000"/>
                <w:kern w:val="0"/>
                <w:sz w:val="24"/>
                <w:szCs w:val="24"/>
              </w:rPr>
            </w:pPr>
          </w:p>
        </w:tc>
      </w:tr>
      <w:tr>
        <w:tblPrEx>
          <w:tblCellMar>
            <w:top w:w="0" w:type="dxa"/>
            <w:left w:w="108" w:type="dxa"/>
            <w:bottom w:w="0" w:type="dxa"/>
            <w:right w:w="108" w:type="dxa"/>
          </w:tblCellMar>
        </w:tblPrEx>
        <w:trPr>
          <w:trHeight w:val="416" w:hRule="atLeast"/>
        </w:trPr>
        <w:tc>
          <w:tcPr>
            <w:tcW w:w="20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劳务费</w:t>
            </w:r>
          </w:p>
        </w:tc>
        <w:tc>
          <w:tcPr>
            <w:tcW w:w="1204"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2</w:t>
            </w:r>
          </w:p>
        </w:tc>
        <w:tc>
          <w:tcPr>
            <w:tcW w:w="1147"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1.61</w:t>
            </w:r>
          </w:p>
        </w:tc>
        <w:tc>
          <w:tcPr>
            <w:tcW w:w="927"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-0.39</w:t>
            </w:r>
          </w:p>
        </w:tc>
        <w:tc>
          <w:tcPr>
            <w:tcW w:w="1224"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p>
        </w:tc>
        <w:tc>
          <w:tcPr>
            <w:tcW w:w="2575"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left"/>
              <w:rPr>
                <w:rFonts w:ascii="Times New Roman" w:hAnsi="Times New Roman" w:eastAsia="仿宋"/>
                <w:color w:val="000000"/>
                <w:kern w:val="0"/>
                <w:sz w:val="24"/>
                <w:szCs w:val="24"/>
              </w:rPr>
            </w:pPr>
          </w:p>
        </w:tc>
      </w:tr>
      <w:tr>
        <w:tblPrEx>
          <w:tblCellMar>
            <w:top w:w="0" w:type="dxa"/>
            <w:left w:w="108" w:type="dxa"/>
            <w:bottom w:w="0" w:type="dxa"/>
            <w:right w:w="108" w:type="dxa"/>
          </w:tblCellMar>
        </w:tblPrEx>
        <w:trPr>
          <w:trHeight w:val="416" w:hRule="atLeast"/>
        </w:trPr>
        <w:tc>
          <w:tcPr>
            <w:tcW w:w="20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工会经费</w:t>
            </w:r>
          </w:p>
        </w:tc>
        <w:tc>
          <w:tcPr>
            <w:tcW w:w="1204"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7</w:t>
            </w:r>
          </w:p>
        </w:tc>
        <w:tc>
          <w:tcPr>
            <w:tcW w:w="1147"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6.15</w:t>
            </w:r>
          </w:p>
        </w:tc>
        <w:tc>
          <w:tcPr>
            <w:tcW w:w="927"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-0.85</w:t>
            </w:r>
          </w:p>
        </w:tc>
        <w:tc>
          <w:tcPr>
            <w:tcW w:w="1224"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p>
        </w:tc>
        <w:tc>
          <w:tcPr>
            <w:tcW w:w="2575"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left"/>
              <w:rPr>
                <w:rFonts w:ascii="Times New Roman" w:hAnsi="Times New Roman" w:eastAsia="仿宋"/>
                <w:color w:val="000000"/>
                <w:kern w:val="0"/>
                <w:sz w:val="24"/>
                <w:szCs w:val="24"/>
              </w:rPr>
            </w:pPr>
          </w:p>
        </w:tc>
      </w:tr>
      <w:tr>
        <w:tblPrEx>
          <w:tblCellMar>
            <w:top w:w="0" w:type="dxa"/>
            <w:left w:w="108" w:type="dxa"/>
            <w:bottom w:w="0" w:type="dxa"/>
            <w:right w:w="108" w:type="dxa"/>
          </w:tblCellMar>
        </w:tblPrEx>
        <w:trPr>
          <w:trHeight w:val="416" w:hRule="atLeast"/>
        </w:trPr>
        <w:tc>
          <w:tcPr>
            <w:tcW w:w="20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福利费</w:t>
            </w:r>
          </w:p>
        </w:tc>
        <w:tc>
          <w:tcPr>
            <w:tcW w:w="1204"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12</w:t>
            </w:r>
          </w:p>
        </w:tc>
        <w:tc>
          <w:tcPr>
            <w:tcW w:w="1147"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11.15</w:t>
            </w:r>
          </w:p>
        </w:tc>
        <w:tc>
          <w:tcPr>
            <w:tcW w:w="927"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-0.85</w:t>
            </w:r>
          </w:p>
        </w:tc>
        <w:tc>
          <w:tcPr>
            <w:tcW w:w="1224"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p>
        </w:tc>
        <w:tc>
          <w:tcPr>
            <w:tcW w:w="2575"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left"/>
              <w:rPr>
                <w:rFonts w:ascii="Times New Roman" w:hAnsi="Times New Roman" w:eastAsia="仿宋"/>
                <w:color w:val="000000"/>
                <w:kern w:val="0"/>
                <w:sz w:val="24"/>
                <w:szCs w:val="24"/>
              </w:rPr>
            </w:pPr>
          </w:p>
        </w:tc>
      </w:tr>
      <w:tr>
        <w:tblPrEx>
          <w:tblCellMar>
            <w:top w:w="0" w:type="dxa"/>
            <w:left w:w="108" w:type="dxa"/>
            <w:bottom w:w="0" w:type="dxa"/>
            <w:right w:w="108" w:type="dxa"/>
          </w:tblCellMar>
        </w:tblPrEx>
        <w:trPr>
          <w:trHeight w:val="416" w:hRule="atLeast"/>
        </w:trPr>
        <w:tc>
          <w:tcPr>
            <w:tcW w:w="20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公务车运行维护</w:t>
            </w:r>
          </w:p>
        </w:tc>
        <w:tc>
          <w:tcPr>
            <w:tcW w:w="1204"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23</w:t>
            </w:r>
          </w:p>
        </w:tc>
        <w:tc>
          <w:tcPr>
            <w:tcW w:w="1147"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22.02</w:t>
            </w:r>
          </w:p>
        </w:tc>
        <w:tc>
          <w:tcPr>
            <w:tcW w:w="927"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-0.98</w:t>
            </w:r>
          </w:p>
        </w:tc>
        <w:tc>
          <w:tcPr>
            <w:tcW w:w="1224"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p>
        </w:tc>
        <w:tc>
          <w:tcPr>
            <w:tcW w:w="2575"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left"/>
              <w:rPr>
                <w:rFonts w:ascii="Times New Roman" w:hAnsi="Times New Roman" w:eastAsia="仿宋"/>
                <w:color w:val="000000"/>
                <w:kern w:val="0"/>
                <w:sz w:val="24"/>
                <w:szCs w:val="24"/>
              </w:rPr>
            </w:pPr>
          </w:p>
        </w:tc>
      </w:tr>
      <w:tr>
        <w:tblPrEx>
          <w:tblCellMar>
            <w:top w:w="0" w:type="dxa"/>
            <w:left w:w="108" w:type="dxa"/>
            <w:bottom w:w="0" w:type="dxa"/>
            <w:right w:w="108" w:type="dxa"/>
          </w:tblCellMar>
        </w:tblPrEx>
        <w:trPr>
          <w:trHeight w:val="416" w:hRule="atLeast"/>
        </w:trPr>
        <w:tc>
          <w:tcPr>
            <w:tcW w:w="20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其他交通</w:t>
            </w:r>
          </w:p>
        </w:tc>
        <w:tc>
          <w:tcPr>
            <w:tcW w:w="1204"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23</w:t>
            </w:r>
          </w:p>
        </w:tc>
        <w:tc>
          <w:tcPr>
            <w:tcW w:w="1147"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22.68</w:t>
            </w:r>
          </w:p>
        </w:tc>
        <w:tc>
          <w:tcPr>
            <w:tcW w:w="927"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-0.32</w:t>
            </w:r>
          </w:p>
        </w:tc>
        <w:tc>
          <w:tcPr>
            <w:tcW w:w="1224"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p>
        </w:tc>
        <w:tc>
          <w:tcPr>
            <w:tcW w:w="2575"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left"/>
              <w:rPr>
                <w:rFonts w:ascii="Times New Roman" w:hAnsi="Times New Roman" w:eastAsia="仿宋"/>
                <w:color w:val="000000"/>
                <w:kern w:val="0"/>
                <w:sz w:val="24"/>
                <w:szCs w:val="24"/>
              </w:rPr>
            </w:pPr>
          </w:p>
        </w:tc>
      </w:tr>
      <w:tr>
        <w:tblPrEx>
          <w:tblCellMar>
            <w:top w:w="0" w:type="dxa"/>
            <w:left w:w="108" w:type="dxa"/>
            <w:bottom w:w="0" w:type="dxa"/>
            <w:right w:w="108" w:type="dxa"/>
          </w:tblCellMar>
        </w:tblPrEx>
        <w:trPr>
          <w:trHeight w:val="416" w:hRule="atLeast"/>
        </w:trPr>
        <w:tc>
          <w:tcPr>
            <w:tcW w:w="20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其他商品服务和支出</w:t>
            </w:r>
          </w:p>
        </w:tc>
        <w:tc>
          <w:tcPr>
            <w:tcW w:w="1204"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23.4</w:t>
            </w:r>
          </w:p>
        </w:tc>
        <w:tc>
          <w:tcPr>
            <w:tcW w:w="1147"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18.81</w:t>
            </w:r>
          </w:p>
        </w:tc>
        <w:tc>
          <w:tcPr>
            <w:tcW w:w="927"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-16.49</w:t>
            </w:r>
          </w:p>
        </w:tc>
        <w:tc>
          <w:tcPr>
            <w:tcW w:w="1224"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p>
        </w:tc>
        <w:tc>
          <w:tcPr>
            <w:tcW w:w="2575"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left"/>
              <w:rPr>
                <w:rFonts w:ascii="Times New Roman" w:hAnsi="Times New Roman" w:eastAsia="仿宋"/>
                <w:color w:val="000000"/>
                <w:kern w:val="0"/>
                <w:sz w:val="24"/>
                <w:szCs w:val="24"/>
              </w:rPr>
            </w:pPr>
          </w:p>
        </w:tc>
      </w:tr>
      <w:tr>
        <w:tblPrEx>
          <w:tblCellMar>
            <w:top w:w="0" w:type="dxa"/>
            <w:left w:w="108" w:type="dxa"/>
            <w:bottom w:w="0" w:type="dxa"/>
            <w:right w:w="108" w:type="dxa"/>
          </w:tblCellMar>
        </w:tblPrEx>
        <w:trPr>
          <w:trHeight w:val="416" w:hRule="atLeast"/>
        </w:trPr>
        <w:tc>
          <w:tcPr>
            <w:tcW w:w="20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 xml:space="preserve">  （二）项目支出</w:t>
            </w:r>
          </w:p>
        </w:tc>
        <w:tc>
          <w:tcPr>
            <w:tcW w:w="1204"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850.26</w:t>
            </w:r>
          </w:p>
        </w:tc>
        <w:tc>
          <w:tcPr>
            <w:tcW w:w="1147"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1233.24</w:t>
            </w:r>
          </w:p>
        </w:tc>
        <w:tc>
          <w:tcPr>
            <w:tcW w:w="927"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382.98</w:t>
            </w:r>
          </w:p>
        </w:tc>
        <w:tc>
          <w:tcPr>
            <w:tcW w:w="1224"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45.04%</w:t>
            </w:r>
          </w:p>
        </w:tc>
        <w:tc>
          <w:tcPr>
            <w:tcW w:w="2575"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left"/>
              <w:rPr>
                <w:rFonts w:ascii="Times New Roman" w:hAnsi="Times New Roman" w:eastAsia="仿宋"/>
                <w:color w:val="000000"/>
                <w:kern w:val="0"/>
                <w:sz w:val="24"/>
                <w:szCs w:val="24"/>
              </w:rPr>
            </w:pPr>
            <w:r>
              <w:rPr>
                <w:rFonts w:ascii="Times New Roman" w:hAnsi="Times New Roman" w:eastAsia="仿宋"/>
                <w:color w:val="000000"/>
                <w:kern w:val="0"/>
                <w:sz w:val="24"/>
                <w:szCs w:val="24"/>
              </w:rPr>
              <w:t>老年大学房屋设备维修改造、涉老社团的专项开支、离退休老干等经费追加。</w:t>
            </w:r>
          </w:p>
        </w:tc>
      </w:tr>
      <w:tr>
        <w:tblPrEx>
          <w:tblCellMar>
            <w:top w:w="0" w:type="dxa"/>
            <w:left w:w="108" w:type="dxa"/>
            <w:bottom w:w="0" w:type="dxa"/>
            <w:right w:w="108" w:type="dxa"/>
          </w:tblCellMar>
        </w:tblPrEx>
        <w:trPr>
          <w:trHeight w:val="690" w:hRule="atLeast"/>
        </w:trPr>
        <w:tc>
          <w:tcPr>
            <w:tcW w:w="2093" w:type="dxa"/>
            <w:tcBorders>
              <w:top w:val="nil"/>
              <w:left w:val="single" w:color="auto" w:sz="4" w:space="0"/>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1、离退休老干部管理经费</w:t>
            </w:r>
          </w:p>
        </w:tc>
        <w:tc>
          <w:tcPr>
            <w:tcW w:w="1204"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247</w:t>
            </w:r>
          </w:p>
        </w:tc>
        <w:tc>
          <w:tcPr>
            <w:tcW w:w="1147"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291.41</w:t>
            </w:r>
          </w:p>
        </w:tc>
        <w:tc>
          <w:tcPr>
            <w:tcW w:w="927"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44.41</w:t>
            </w:r>
          </w:p>
        </w:tc>
        <w:tc>
          <w:tcPr>
            <w:tcW w:w="1224"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17.98%</w:t>
            </w:r>
          </w:p>
        </w:tc>
        <w:tc>
          <w:tcPr>
            <w:tcW w:w="2575" w:type="dxa"/>
            <w:tcBorders>
              <w:top w:val="nil"/>
              <w:left w:val="nil"/>
              <w:bottom w:val="single" w:color="auto" w:sz="4" w:space="0"/>
              <w:right w:val="single" w:color="auto" w:sz="4" w:space="0"/>
            </w:tcBorders>
            <w:shd w:val="clear" w:color="000000" w:fill="FFFFFF"/>
            <w:vAlign w:val="center"/>
          </w:tcPr>
          <w:p>
            <w:pPr>
              <w:widowControl/>
              <w:spacing w:line="560" w:lineRule="exact"/>
              <w:jc w:val="left"/>
              <w:rPr>
                <w:rFonts w:ascii="Times New Roman" w:hAnsi="Times New Roman" w:eastAsia="仿宋"/>
                <w:color w:val="000000"/>
                <w:kern w:val="0"/>
                <w:sz w:val="24"/>
                <w:szCs w:val="24"/>
              </w:rPr>
            </w:pPr>
            <w:r>
              <w:rPr>
                <w:rFonts w:ascii="Times New Roman" w:hAnsi="Times New Roman" w:eastAsia="仿宋"/>
                <w:color w:val="000000"/>
                <w:kern w:val="0"/>
                <w:sz w:val="24"/>
                <w:szCs w:val="24"/>
              </w:rPr>
              <w:t>离退休老干等经费支出增加。</w:t>
            </w:r>
          </w:p>
        </w:tc>
      </w:tr>
      <w:tr>
        <w:tblPrEx>
          <w:tblCellMar>
            <w:top w:w="0" w:type="dxa"/>
            <w:left w:w="108" w:type="dxa"/>
            <w:bottom w:w="0" w:type="dxa"/>
            <w:right w:w="108" w:type="dxa"/>
          </w:tblCellMar>
        </w:tblPrEx>
        <w:trPr>
          <w:trHeight w:val="999" w:hRule="atLeast"/>
        </w:trPr>
        <w:tc>
          <w:tcPr>
            <w:tcW w:w="2093" w:type="dxa"/>
            <w:tcBorders>
              <w:top w:val="nil"/>
              <w:left w:val="single" w:color="auto" w:sz="4" w:space="0"/>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2、群众社团活动及创建经费</w:t>
            </w:r>
          </w:p>
        </w:tc>
        <w:tc>
          <w:tcPr>
            <w:tcW w:w="1204"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603.26</w:t>
            </w:r>
          </w:p>
        </w:tc>
        <w:tc>
          <w:tcPr>
            <w:tcW w:w="1147"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941.83</w:t>
            </w:r>
          </w:p>
        </w:tc>
        <w:tc>
          <w:tcPr>
            <w:tcW w:w="927"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338.57</w:t>
            </w:r>
          </w:p>
        </w:tc>
        <w:tc>
          <w:tcPr>
            <w:tcW w:w="1224"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56.12%</w:t>
            </w:r>
          </w:p>
        </w:tc>
        <w:tc>
          <w:tcPr>
            <w:tcW w:w="2575" w:type="dxa"/>
            <w:tcBorders>
              <w:top w:val="nil"/>
              <w:left w:val="nil"/>
              <w:bottom w:val="single" w:color="auto" w:sz="4" w:space="0"/>
              <w:right w:val="single" w:color="auto" w:sz="4" w:space="0"/>
            </w:tcBorders>
            <w:shd w:val="clear" w:color="000000" w:fill="FFFFFF"/>
            <w:vAlign w:val="center"/>
          </w:tcPr>
          <w:p>
            <w:pPr>
              <w:widowControl/>
              <w:spacing w:line="560" w:lineRule="exact"/>
              <w:jc w:val="left"/>
              <w:rPr>
                <w:rFonts w:ascii="Times New Roman" w:hAnsi="Times New Roman" w:eastAsia="仿宋"/>
                <w:color w:val="000000"/>
                <w:kern w:val="0"/>
                <w:sz w:val="24"/>
                <w:szCs w:val="24"/>
              </w:rPr>
            </w:pPr>
            <w:r>
              <w:rPr>
                <w:rFonts w:ascii="Times New Roman" w:hAnsi="Times New Roman" w:eastAsia="仿宋"/>
                <w:color w:val="000000"/>
                <w:kern w:val="0"/>
                <w:sz w:val="24"/>
                <w:szCs w:val="24"/>
              </w:rPr>
              <w:t>老年大学、老体协、老年保健协会、老科协、老年网宣等增加开支。</w:t>
            </w:r>
          </w:p>
        </w:tc>
      </w:tr>
    </w:tbl>
    <w:p>
      <w:pPr>
        <w:autoSpaceDE w:val="0"/>
        <w:autoSpaceDN w:val="0"/>
        <w:adjustRightInd w:val="0"/>
        <w:spacing w:line="560" w:lineRule="exact"/>
        <w:ind w:firstLine="600" w:firstLineChars="250"/>
        <w:rPr>
          <w:rFonts w:ascii="Times New Roman" w:hAnsi="Times New Roman" w:eastAsia="仿宋"/>
          <w:b/>
          <w:sz w:val="24"/>
          <w:szCs w:val="24"/>
        </w:rPr>
      </w:pPr>
      <w:r>
        <w:rPr>
          <w:rFonts w:ascii="Times New Roman" w:hAnsi="Times New Roman" w:eastAsia="仿宋"/>
          <w:b/>
          <w:bCs/>
          <w:color w:val="000000"/>
          <w:kern w:val="0"/>
          <w:sz w:val="24"/>
          <w:szCs w:val="24"/>
        </w:rPr>
        <w:t>4.</w:t>
      </w:r>
      <w:r>
        <w:rPr>
          <w:rFonts w:ascii="Times New Roman" w:hAnsi="Times New Roman" w:eastAsia="仿宋"/>
          <w:b/>
          <w:sz w:val="24"/>
          <w:szCs w:val="24"/>
        </w:rPr>
        <w:t>主要指标决算对比分析</w:t>
      </w:r>
    </w:p>
    <w:tbl>
      <w:tblPr>
        <w:tblStyle w:val="4"/>
        <w:tblW w:w="8825" w:type="dxa"/>
        <w:tblInd w:w="91" w:type="dxa"/>
        <w:tblLayout w:type="autofit"/>
        <w:tblCellMar>
          <w:top w:w="0" w:type="dxa"/>
          <w:left w:w="108" w:type="dxa"/>
          <w:bottom w:w="0" w:type="dxa"/>
          <w:right w:w="108" w:type="dxa"/>
        </w:tblCellMar>
      </w:tblPr>
      <w:tblGrid>
        <w:gridCol w:w="1676"/>
        <w:gridCol w:w="1229"/>
        <w:gridCol w:w="1249"/>
        <w:gridCol w:w="1123"/>
        <w:gridCol w:w="1209"/>
        <w:gridCol w:w="2339"/>
      </w:tblGrid>
      <w:tr>
        <w:tblPrEx>
          <w:tblCellMar>
            <w:top w:w="0" w:type="dxa"/>
            <w:left w:w="108" w:type="dxa"/>
            <w:bottom w:w="0" w:type="dxa"/>
            <w:right w:w="108" w:type="dxa"/>
          </w:tblCellMar>
        </w:tblPrEx>
        <w:trPr>
          <w:trHeight w:val="555" w:hRule="atLeast"/>
        </w:trPr>
        <w:tc>
          <w:tcPr>
            <w:tcW w:w="16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项  目</w:t>
            </w:r>
          </w:p>
        </w:tc>
        <w:tc>
          <w:tcPr>
            <w:tcW w:w="1229"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2019决算</w:t>
            </w:r>
          </w:p>
        </w:tc>
        <w:tc>
          <w:tcPr>
            <w:tcW w:w="1249"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2020决算</w:t>
            </w:r>
          </w:p>
        </w:tc>
        <w:tc>
          <w:tcPr>
            <w:tcW w:w="1123"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增减额</w:t>
            </w:r>
          </w:p>
        </w:tc>
        <w:tc>
          <w:tcPr>
            <w:tcW w:w="1209"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增减</w:t>
            </w:r>
          </w:p>
        </w:tc>
        <w:tc>
          <w:tcPr>
            <w:tcW w:w="2339"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变动原因</w:t>
            </w:r>
          </w:p>
        </w:tc>
      </w:tr>
      <w:tr>
        <w:tblPrEx>
          <w:tblCellMar>
            <w:top w:w="0" w:type="dxa"/>
            <w:left w:w="108" w:type="dxa"/>
            <w:bottom w:w="0" w:type="dxa"/>
            <w:right w:w="108" w:type="dxa"/>
          </w:tblCellMar>
        </w:tblPrEx>
        <w:trPr>
          <w:trHeight w:val="525" w:hRule="atLeast"/>
        </w:trPr>
        <w:tc>
          <w:tcPr>
            <w:tcW w:w="1676" w:type="dxa"/>
            <w:tcBorders>
              <w:top w:val="nil"/>
              <w:left w:val="single" w:color="auto" w:sz="4" w:space="0"/>
              <w:bottom w:val="single" w:color="auto" w:sz="4" w:space="0"/>
              <w:right w:val="single" w:color="auto" w:sz="4" w:space="0"/>
            </w:tcBorders>
            <w:shd w:val="clear" w:color="000000" w:fill="FFFFFF"/>
            <w:vAlign w:val="center"/>
          </w:tcPr>
          <w:p>
            <w:pPr>
              <w:widowControl/>
              <w:spacing w:line="560" w:lineRule="exact"/>
              <w:jc w:val="left"/>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一、收入</w:t>
            </w:r>
          </w:p>
        </w:tc>
        <w:tc>
          <w:tcPr>
            <w:tcW w:w="1229"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2167.95</w:t>
            </w:r>
          </w:p>
        </w:tc>
        <w:tc>
          <w:tcPr>
            <w:tcW w:w="1249"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1737.79</w:t>
            </w:r>
          </w:p>
        </w:tc>
        <w:tc>
          <w:tcPr>
            <w:tcW w:w="1123"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-430.16</w:t>
            </w:r>
          </w:p>
        </w:tc>
        <w:tc>
          <w:tcPr>
            <w:tcW w:w="1209"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-19.84%</w:t>
            </w:r>
          </w:p>
        </w:tc>
        <w:tc>
          <w:tcPr>
            <w:tcW w:w="2339" w:type="dxa"/>
            <w:tcBorders>
              <w:top w:val="nil"/>
              <w:left w:val="nil"/>
              <w:bottom w:val="nil"/>
              <w:right w:val="single" w:color="auto" w:sz="4" w:space="0"/>
            </w:tcBorders>
            <w:shd w:val="clear" w:color="000000" w:fill="FFFFFF"/>
            <w:noWrap/>
            <w:vAlign w:val="center"/>
          </w:tcPr>
          <w:p>
            <w:pPr>
              <w:widowControl/>
              <w:spacing w:line="560" w:lineRule="exact"/>
              <w:jc w:val="left"/>
              <w:rPr>
                <w:rFonts w:ascii="Times New Roman" w:hAnsi="Times New Roman" w:eastAsia="仿宋"/>
                <w:color w:val="000000"/>
                <w:kern w:val="0"/>
                <w:sz w:val="24"/>
                <w:szCs w:val="24"/>
              </w:rPr>
            </w:pPr>
            <w:r>
              <w:rPr>
                <w:rFonts w:ascii="Times New Roman" w:hAnsi="Times New Roman" w:eastAsia="仿宋"/>
                <w:color w:val="000000"/>
                <w:kern w:val="0"/>
                <w:sz w:val="24"/>
                <w:szCs w:val="24"/>
              </w:rPr>
              <w:t>政策性调减。</w:t>
            </w:r>
          </w:p>
        </w:tc>
      </w:tr>
      <w:tr>
        <w:tblPrEx>
          <w:tblCellMar>
            <w:top w:w="0" w:type="dxa"/>
            <w:left w:w="108" w:type="dxa"/>
            <w:bottom w:w="0" w:type="dxa"/>
            <w:right w:w="108" w:type="dxa"/>
          </w:tblCellMar>
        </w:tblPrEx>
        <w:trPr>
          <w:trHeight w:val="570" w:hRule="atLeast"/>
        </w:trPr>
        <w:tc>
          <w:tcPr>
            <w:tcW w:w="1676" w:type="dxa"/>
            <w:tcBorders>
              <w:top w:val="nil"/>
              <w:left w:val="single" w:color="auto" w:sz="4" w:space="0"/>
              <w:bottom w:val="single" w:color="auto" w:sz="4" w:space="0"/>
              <w:right w:val="single" w:color="auto" w:sz="4" w:space="0"/>
            </w:tcBorders>
            <w:shd w:val="clear" w:color="000000" w:fill="FFFFFF"/>
            <w:vAlign w:val="center"/>
          </w:tcPr>
          <w:p>
            <w:pPr>
              <w:widowControl/>
              <w:spacing w:line="560" w:lineRule="exact"/>
              <w:jc w:val="left"/>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（一）财政拨款收入</w:t>
            </w:r>
          </w:p>
        </w:tc>
        <w:tc>
          <w:tcPr>
            <w:tcW w:w="1229"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2154.94</w:t>
            </w:r>
          </w:p>
        </w:tc>
        <w:tc>
          <w:tcPr>
            <w:tcW w:w="1249"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1737.79</w:t>
            </w:r>
          </w:p>
        </w:tc>
        <w:tc>
          <w:tcPr>
            <w:tcW w:w="1123"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-417.15</w:t>
            </w:r>
          </w:p>
        </w:tc>
        <w:tc>
          <w:tcPr>
            <w:tcW w:w="1209"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-19.36%</w:t>
            </w:r>
          </w:p>
        </w:tc>
        <w:tc>
          <w:tcPr>
            <w:tcW w:w="2339" w:type="dxa"/>
            <w:tcBorders>
              <w:top w:val="single" w:color="auto" w:sz="4" w:space="0"/>
              <w:left w:val="nil"/>
              <w:bottom w:val="nil"/>
              <w:right w:val="single" w:color="auto" w:sz="4" w:space="0"/>
            </w:tcBorders>
            <w:shd w:val="clear" w:color="000000" w:fill="FFFFFF"/>
            <w:noWrap/>
            <w:vAlign w:val="center"/>
          </w:tcPr>
          <w:p>
            <w:pPr>
              <w:widowControl/>
              <w:spacing w:line="560" w:lineRule="exact"/>
              <w:jc w:val="left"/>
              <w:rPr>
                <w:rFonts w:ascii="Times New Roman" w:hAnsi="Times New Roman" w:eastAsia="仿宋"/>
                <w:color w:val="000000"/>
                <w:kern w:val="0"/>
                <w:sz w:val="24"/>
                <w:szCs w:val="24"/>
              </w:rPr>
            </w:pPr>
            <w:r>
              <w:rPr>
                <w:rFonts w:ascii="Times New Roman" w:hAnsi="Times New Roman" w:eastAsia="仿宋"/>
                <w:color w:val="000000"/>
                <w:kern w:val="0"/>
                <w:sz w:val="24"/>
                <w:szCs w:val="24"/>
              </w:rPr>
              <w:t>政策性调减。</w:t>
            </w:r>
          </w:p>
        </w:tc>
      </w:tr>
      <w:tr>
        <w:tblPrEx>
          <w:tblCellMar>
            <w:top w:w="0" w:type="dxa"/>
            <w:left w:w="108" w:type="dxa"/>
            <w:bottom w:w="0" w:type="dxa"/>
            <w:right w:w="108" w:type="dxa"/>
          </w:tblCellMar>
        </w:tblPrEx>
        <w:trPr>
          <w:trHeight w:val="630" w:hRule="atLeast"/>
        </w:trPr>
        <w:tc>
          <w:tcPr>
            <w:tcW w:w="1676" w:type="dxa"/>
            <w:tcBorders>
              <w:top w:val="nil"/>
              <w:left w:val="single" w:color="auto" w:sz="4" w:space="0"/>
              <w:bottom w:val="single" w:color="auto" w:sz="4" w:space="0"/>
              <w:right w:val="single" w:color="auto" w:sz="4" w:space="0"/>
            </w:tcBorders>
            <w:shd w:val="clear" w:color="000000" w:fill="FFFFFF"/>
            <w:vAlign w:val="center"/>
          </w:tcPr>
          <w:p>
            <w:pPr>
              <w:widowControl/>
              <w:spacing w:line="560" w:lineRule="exact"/>
              <w:jc w:val="left"/>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二、支出</w:t>
            </w:r>
          </w:p>
        </w:tc>
        <w:tc>
          <w:tcPr>
            <w:tcW w:w="1229"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1945.93</w:t>
            </w:r>
          </w:p>
        </w:tc>
        <w:tc>
          <w:tcPr>
            <w:tcW w:w="1249"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2025.86</w:t>
            </w:r>
          </w:p>
        </w:tc>
        <w:tc>
          <w:tcPr>
            <w:tcW w:w="1123"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79.93</w:t>
            </w:r>
          </w:p>
        </w:tc>
        <w:tc>
          <w:tcPr>
            <w:tcW w:w="1209"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4.11%</w:t>
            </w:r>
          </w:p>
        </w:tc>
        <w:tc>
          <w:tcPr>
            <w:tcW w:w="2339"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left"/>
              <w:rPr>
                <w:rFonts w:ascii="Times New Roman" w:hAnsi="Times New Roman" w:eastAsia="仿宋"/>
                <w:color w:val="000000"/>
                <w:kern w:val="0"/>
                <w:sz w:val="24"/>
                <w:szCs w:val="24"/>
              </w:rPr>
            </w:pPr>
            <w:r>
              <w:rPr>
                <w:rFonts w:ascii="Times New Roman" w:hAnsi="Times New Roman" w:eastAsia="仿宋"/>
                <w:color w:val="000000"/>
                <w:kern w:val="0"/>
                <w:sz w:val="24"/>
                <w:szCs w:val="24"/>
              </w:rPr>
              <w:t>人员经费政策性调增。</w:t>
            </w:r>
          </w:p>
        </w:tc>
      </w:tr>
      <w:tr>
        <w:tblPrEx>
          <w:tblCellMar>
            <w:top w:w="0" w:type="dxa"/>
            <w:left w:w="108" w:type="dxa"/>
            <w:bottom w:w="0" w:type="dxa"/>
            <w:right w:w="108" w:type="dxa"/>
          </w:tblCellMar>
        </w:tblPrEx>
        <w:trPr>
          <w:trHeight w:val="570" w:hRule="atLeast"/>
        </w:trPr>
        <w:tc>
          <w:tcPr>
            <w:tcW w:w="1676" w:type="dxa"/>
            <w:tcBorders>
              <w:top w:val="nil"/>
              <w:left w:val="single" w:color="auto" w:sz="4" w:space="0"/>
              <w:bottom w:val="single" w:color="auto" w:sz="4" w:space="0"/>
              <w:right w:val="single" w:color="auto" w:sz="4" w:space="0"/>
            </w:tcBorders>
            <w:shd w:val="clear" w:color="000000" w:fill="FFFFFF"/>
            <w:vAlign w:val="center"/>
          </w:tcPr>
          <w:p>
            <w:pPr>
              <w:widowControl/>
              <w:spacing w:line="560" w:lineRule="exact"/>
              <w:jc w:val="left"/>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（一）基本支出</w:t>
            </w:r>
          </w:p>
        </w:tc>
        <w:tc>
          <w:tcPr>
            <w:tcW w:w="1229"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903.33</w:t>
            </w:r>
          </w:p>
        </w:tc>
        <w:tc>
          <w:tcPr>
            <w:tcW w:w="1249"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792.63</w:t>
            </w:r>
          </w:p>
        </w:tc>
        <w:tc>
          <w:tcPr>
            <w:tcW w:w="1123"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-110.7</w:t>
            </w:r>
          </w:p>
        </w:tc>
        <w:tc>
          <w:tcPr>
            <w:tcW w:w="1209"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-12.25%</w:t>
            </w:r>
          </w:p>
        </w:tc>
        <w:tc>
          <w:tcPr>
            <w:tcW w:w="2339" w:type="dxa"/>
            <w:tcBorders>
              <w:top w:val="nil"/>
              <w:left w:val="nil"/>
              <w:bottom w:val="single" w:color="auto" w:sz="4" w:space="0"/>
              <w:right w:val="single" w:color="auto" w:sz="4" w:space="0"/>
            </w:tcBorders>
            <w:shd w:val="clear" w:color="000000" w:fill="FFFFFF"/>
            <w:vAlign w:val="center"/>
          </w:tcPr>
          <w:p>
            <w:pPr>
              <w:widowControl/>
              <w:spacing w:line="560" w:lineRule="exact"/>
              <w:jc w:val="left"/>
              <w:rPr>
                <w:rFonts w:ascii="Times New Roman" w:hAnsi="Times New Roman" w:eastAsia="仿宋"/>
                <w:color w:val="000000"/>
                <w:kern w:val="0"/>
                <w:sz w:val="24"/>
                <w:szCs w:val="24"/>
              </w:rPr>
            </w:pPr>
            <w:r>
              <w:rPr>
                <w:rFonts w:ascii="Times New Roman" w:hAnsi="Times New Roman" w:eastAsia="仿宋"/>
                <w:color w:val="000000"/>
                <w:kern w:val="0"/>
                <w:sz w:val="24"/>
                <w:szCs w:val="24"/>
              </w:rPr>
              <w:t>政策性调减。</w:t>
            </w:r>
          </w:p>
        </w:tc>
      </w:tr>
      <w:tr>
        <w:tblPrEx>
          <w:tblCellMar>
            <w:top w:w="0" w:type="dxa"/>
            <w:left w:w="108" w:type="dxa"/>
            <w:bottom w:w="0" w:type="dxa"/>
            <w:right w:w="108" w:type="dxa"/>
          </w:tblCellMar>
        </w:tblPrEx>
        <w:trPr>
          <w:trHeight w:val="1425" w:hRule="atLeast"/>
        </w:trPr>
        <w:tc>
          <w:tcPr>
            <w:tcW w:w="1676" w:type="dxa"/>
            <w:tcBorders>
              <w:top w:val="nil"/>
              <w:left w:val="single" w:color="auto" w:sz="4" w:space="0"/>
              <w:bottom w:val="single" w:color="auto" w:sz="4" w:space="0"/>
              <w:right w:val="single" w:color="auto" w:sz="4" w:space="0"/>
            </w:tcBorders>
            <w:shd w:val="clear" w:color="000000" w:fill="FFFFFF"/>
            <w:vAlign w:val="center"/>
          </w:tcPr>
          <w:p>
            <w:pPr>
              <w:widowControl/>
              <w:spacing w:line="560" w:lineRule="exact"/>
              <w:jc w:val="left"/>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（二）项目支出</w:t>
            </w:r>
          </w:p>
        </w:tc>
        <w:tc>
          <w:tcPr>
            <w:tcW w:w="1229"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1042.6</w:t>
            </w:r>
          </w:p>
        </w:tc>
        <w:tc>
          <w:tcPr>
            <w:tcW w:w="1249"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1233.23</w:t>
            </w:r>
          </w:p>
        </w:tc>
        <w:tc>
          <w:tcPr>
            <w:tcW w:w="1123"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190.63</w:t>
            </w:r>
          </w:p>
        </w:tc>
        <w:tc>
          <w:tcPr>
            <w:tcW w:w="1209"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18.28%</w:t>
            </w:r>
          </w:p>
        </w:tc>
        <w:tc>
          <w:tcPr>
            <w:tcW w:w="2339" w:type="dxa"/>
            <w:tcBorders>
              <w:top w:val="nil"/>
              <w:left w:val="nil"/>
              <w:bottom w:val="single" w:color="auto" w:sz="4" w:space="0"/>
              <w:right w:val="single" w:color="auto" w:sz="4" w:space="0"/>
            </w:tcBorders>
            <w:shd w:val="clear" w:color="000000" w:fill="FFFFFF"/>
            <w:vAlign w:val="center"/>
          </w:tcPr>
          <w:p>
            <w:pPr>
              <w:widowControl/>
              <w:spacing w:line="560" w:lineRule="exact"/>
              <w:jc w:val="left"/>
              <w:rPr>
                <w:rFonts w:ascii="Times New Roman" w:hAnsi="Times New Roman" w:eastAsia="仿宋"/>
                <w:color w:val="000000"/>
                <w:kern w:val="0"/>
                <w:sz w:val="24"/>
                <w:szCs w:val="24"/>
              </w:rPr>
            </w:pPr>
            <w:r>
              <w:rPr>
                <w:rFonts w:ascii="Times New Roman" w:hAnsi="Times New Roman" w:eastAsia="仿宋"/>
                <w:color w:val="000000"/>
                <w:kern w:val="0"/>
                <w:sz w:val="24"/>
                <w:szCs w:val="24"/>
              </w:rPr>
              <w:t>老年大学房屋设备维修改造、涉老社团的专项开支、离退休老干等经费追加。</w:t>
            </w:r>
          </w:p>
        </w:tc>
      </w:tr>
      <w:tr>
        <w:tblPrEx>
          <w:tblCellMar>
            <w:top w:w="0" w:type="dxa"/>
            <w:left w:w="108" w:type="dxa"/>
            <w:bottom w:w="0" w:type="dxa"/>
            <w:right w:w="108" w:type="dxa"/>
          </w:tblCellMar>
        </w:tblPrEx>
        <w:trPr>
          <w:trHeight w:val="1425" w:hRule="atLeast"/>
        </w:trPr>
        <w:tc>
          <w:tcPr>
            <w:tcW w:w="1676" w:type="dxa"/>
            <w:tcBorders>
              <w:top w:val="nil"/>
              <w:left w:val="single" w:color="auto" w:sz="4" w:space="0"/>
              <w:bottom w:val="single" w:color="auto" w:sz="4" w:space="0"/>
              <w:right w:val="single" w:color="auto" w:sz="4" w:space="0"/>
            </w:tcBorders>
            <w:shd w:val="clear" w:color="000000" w:fill="FFFFFF"/>
            <w:vAlign w:val="center"/>
          </w:tcPr>
          <w:p>
            <w:pPr>
              <w:widowControl/>
              <w:spacing w:line="560" w:lineRule="exact"/>
              <w:jc w:val="left"/>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三、支出按经济科目分类</w:t>
            </w:r>
          </w:p>
        </w:tc>
        <w:tc>
          <w:tcPr>
            <w:tcW w:w="1229"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1945.93</w:t>
            </w:r>
          </w:p>
        </w:tc>
        <w:tc>
          <w:tcPr>
            <w:tcW w:w="1249"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bookmarkStart w:id="0" w:name="RANGE!C7"/>
            <w:r>
              <w:rPr>
                <w:rFonts w:ascii="Times New Roman" w:hAnsi="Times New Roman" w:eastAsia="仿宋"/>
                <w:color w:val="000000"/>
                <w:kern w:val="0"/>
                <w:sz w:val="24"/>
                <w:szCs w:val="24"/>
              </w:rPr>
              <w:t>2025.85</w:t>
            </w:r>
            <w:bookmarkEnd w:id="0"/>
          </w:p>
        </w:tc>
        <w:tc>
          <w:tcPr>
            <w:tcW w:w="1123"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79.92</w:t>
            </w:r>
          </w:p>
        </w:tc>
        <w:tc>
          <w:tcPr>
            <w:tcW w:w="1209"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4.11%</w:t>
            </w:r>
          </w:p>
        </w:tc>
        <w:tc>
          <w:tcPr>
            <w:tcW w:w="2339" w:type="dxa"/>
            <w:tcBorders>
              <w:top w:val="nil"/>
              <w:left w:val="nil"/>
              <w:bottom w:val="single" w:color="auto" w:sz="4" w:space="0"/>
              <w:right w:val="single" w:color="auto" w:sz="4" w:space="0"/>
            </w:tcBorders>
            <w:shd w:val="clear" w:color="000000" w:fill="FFFFFF"/>
            <w:vAlign w:val="center"/>
          </w:tcPr>
          <w:p>
            <w:pPr>
              <w:widowControl/>
              <w:spacing w:line="560" w:lineRule="exact"/>
              <w:jc w:val="left"/>
              <w:rPr>
                <w:rFonts w:ascii="Times New Roman" w:hAnsi="Times New Roman" w:eastAsia="仿宋"/>
                <w:color w:val="000000"/>
                <w:kern w:val="0"/>
                <w:sz w:val="24"/>
                <w:szCs w:val="24"/>
              </w:rPr>
            </w:pPr>
            <w:r>
              <w:rPr>
                <w:rFonts w:ascii="Times New Roman" w:hAnsi="Times New Roman" w:eastAsia="仿宋"/>
                <w:color w:val="000000"/>
                <w:kern w:val="0"/>
                <w:sz w:val="24"/>
                <w:szCs w:val="24"/>
              </w:rPr>
              <w:t>老年大学房屋设备维修改造、涉老社团的专项开支、离退休老干等经费追加。</w:t>
            </w:r>
          </w:p>
        </w:tc>
      </w:tr>
      <w:tr>
        <w:tblPrEx>
          <w:tblCellMar>
            <w:top w:w="0" w:type="dxa"/>
            <w:left w:w="108" w:type="dxa"/>
            <w:bottom w:w="0" w:type="dxa"/>
            <w:right w:w="108" w:type="dxa"/>
          </w:tblCellMar>
        </w:tblPrEx>
        <w:trPr>
          <w:trHeight w:val="690" w:hRule="atLeast"/>
        </w:trPr>
        <w:tc>
          <w:tcPr>
            <w:tcW w:w="1676" w:type="dxa"/>
            <w:tcBorders>
              <w:top w:val="nil"/>
              <w:left w:val="single" w:color="auto" w:sz="4" w:space="0"/>
              <w:bottom w:val="single" w:color="auto" w:sz="4" w:space="0"/>
              <w:right w:val="single" w:color="auto" w:sz="4" w:space="0"/>
            </w:tcBorders>
            <w:shd w:val="clear" w:color="000000" w:fill="FFFFFF"/>
            <w:vAlign w:val="center"/>
          </w:tcPr>
          <w:p>
            <w:pPr>
              <w:widowControl/>
              <w:spacing w:line="560" w:lineRule="exact"/>
              <w:jc w:val="left"/>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1、工资福利支出</w:t>
            </w:r>
          </w:p>
        </w:tc>
        <w:tc>
          <w:tcPr>
            <w:tcW w:w="1229"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639.21</w:t>
            </w:r>
          </w:p>
        </w:tc>
        <w:tc>
          <w:tcPr>
            <w:tcW w:w="1249"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561.05</w:t>
            </w:r>
          </w:p>
        </w:tc>
        <w:tc>
          <w:tcPr>
            <w:tcW w:w="1123"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-78.16</w:t>
            </w:r>
          </w:p>
        </w:tc>
        <w:tc>
          <w:tcPr>
            <w:tcW w:w="1209"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-12.23%</w:t>
            </w:r>
          </w:p>
        </w:tc>
        <w:tc>
          <w:tcPr>
            <w:tcW w:w="2339" w:type="dxa"/>
            <w:tcBorders>
              <w:top w:val="nil"/>
              <w:left w:val="nil"/>
              <w:bottom w:val="nil"/>
              <w:right w:val="single" w:color="auto" w:sz="4" w:space="0"/>
            </w:tcBorders>
            <w:shd w:val="clear" w:color="000000" w:fill="FFFFFF"/>
            <w:vAlign w:val="center"/>
          </w:tcPr>
          <w:p>
            <w:pPr>
              <w:widowControl/>
              <w:spacing w:line="560" w:lineRule="exact"/>
              <w:jc w:val="left"/>
              <w:rPr>
                <w:rFonts w:ascii="Times New Roman" w:hAnsi="Times New Roman" w:eastAsia="仿宋"/>
                <w:color w:val="000000"/>
                <w:kern w:val="0"/>
                <w:sz w:val="24"/>
                <w:szCs w:val="24"/>
              </w:rPr>
            </w:pPr>
            <w:r>
              <w:rPr>
                <w:rFonts w:ascii="Times New Roman" w:hAnsi="Times New Roman" w:eastAsia="仿宋"/>
                <w:color w:val="000000"/>
                <w:kern w:val="0"/>
                <w:sz w:val="24"/>
                <w:szCs w:val="24"/>
              </w:rPr>
              <w:t>老年大学未开学无老师工资福利支出</w:t>
            </w:r>
          </w:p>
        </w:tc>
      </w:tr>
      <w:tr>
        <w:tblPrEx>
          <w:tblCellMar>
            <w:top w:w="0" w:type="dxa"/>
            <w:left w:w="108" w:type="dxa"/>
            <w:bottom w:w="0" w:type="dxa"/>
            <w:right w:w="108" w:type="dxa"/>
          </w:tblCellMar>
        </w:tblPrEx>
        <w:trPr>
          <w:trHeight w:val="1140" w:hRule="atLeast"/>
        </w:trPr>
        <w:tc>
          <w:tcPr>
            <w:tcW w:w="1676" w:type="dxa"/>
            <w:tcBorders>
              <w:top w:val="nil"/>
              <w:left w:val="single" w:color="auto" w:sz="4" w:space="0"/>
              <w:bottom w:val="single" w:color="auto" w:sz="4" w:space="0"/>
              <w:right w:val="single" w:color="auto" w:sz="4" w:space="0"/>
            </w:tcBorders>
            <w:shd w:val="clear" w:color="000000" w:fill="FFFFFF"/>
            <w:vAlign w:val="center"/>
          </w:tcPr>
          <w:p>
            <w:pPr>
              <w:widowControl/>
              <w:spacing w:line="560" w:lineRule="exact"/>
              <w:jc w:val="left"/>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2、商品服务支出</w:t>
            </w:r>
          </w:p>
        </w:tc>
        <w:tc>
          <w:tcPr>
            <w:tcW w:w="1229"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1109.27</w:t>
            </w:r>
          </w:p>
        </w:tc>
        <w:tc>
          <w:tcPr>
            <w:tcW w:w="1249"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1161.44</w:t>
            </w:r>
          </w:p>
        </w:tc>
        <w:tc>
          <w:tcPr>
            <w:tcW w:w="1123"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52.17</w:t>
            </w:r>
          </w:p>
        </w:tc>
        <w:tc>
          <w:tcPr>
            <w:tcW w:w="1209"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4.70%</w:t>
            </w:r>
          </w:p>
        </w:tc>
        <w:tc>
          <w:tcPr>
            <w:tcW w:w="2339"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left"/>
              <w:rPr>
                <w:rFonts w:ascii="Times New Roman" w:hAnsi="Times New Roman" w:eastAsia="仿宋"/>
                <w:color w:val="000000"/>
                <w:kern w:val="0"/>
                <w:sz w:val="24"/>
                <w:szCs w:val="24"/>
              </w:rPr>
            </w:pPr>
            <w:r>
              <w:rPr>
                <w:rFonts w:ascii="Times New Roman" w:hAnsi="Times New Roman" w:eastAsia="仿宋"/>
                <w:color w:val="000000"/>
                <w:kern w:val="0"/>
                <w:sz w:val="24"/>
                <w:szCs w:val="24"/>
              </w:rPr>
              <w:t>老年大学、老年体协、老年保健协会、老科协、老年网宣等增加开支。</w:t>
            </w:r>
          </w:p>
        </w:tc>
      </w:tr>
      <w:tr>
        <w:tblPrEx>
          <w:tblCellMar>
            <w:top w:w="0" w:type="dxa"/>
            <w:left w:w="108" w:type="dxa"/>
            <w:bottom w:w="0" w:type="dxa"/>
            <w:right w:w="108" w:type="dxa"/>
          </w:tblCellMar>
        </w:tblPrEx>
        <w:trPr>
          <w:trHeight w:val="570" w:hRule="atLeast"/>
        </w:trPr>
        <w:tc>
          <w:tcPr>
            <w:tcW w:w="1676" w:type="dxa"/>
            <w:tcBorders>
              <w:top w:val="nil"/>
              <w:left w:val="single" w:color="auto" w:sz="4" w:space="0"/>
              <w:bottom w:val="single" w:color="auto" w:sz="4" w:space="0"/>
              <w:right w:val="single" w:color="auto" w:sz="4" w:space="0"/>
            </w:tcBorders>
            <w:shd w:val="clear" w:color="000000" w:fill="FFFFFF"/>
            <w:vAlign w:val="center"/>
          </w:tcPr>
          <w:p>
            <w:pPr>
              <w:widowControl/>
              <w:spacing w:line="560" w:lineRule="exact"/>
              <w:jc w:val="left"/>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3、对个人和家庭的补助</w:t>
            </w:r>
          </w:p>
        </w:tc>
        <w:tc>
          <w:tcPr>
            <w:tcW w:w="1229"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164.33</w:t>
            </w:r>
          </w:p>
        </w:tc>
        <w:tc>
          <w:tcPr>
            <w:tcW w:w="1249"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174.92</w:t>
            </w:r>
          </w:p>
        </w:tc>
        <w:tc>
          <w:tcPr>
            <w:tcW w:w="1123"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10.59</w:t>
            </w:r>
          </w:p>
        </w:tc>
        <w:tc>
          <w:tcPr>
            <w:tcW w:w="1209"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6.44%</w:t>
            </w:r>
          </w:p>
        </w:tc>
        <w:tc>
          <w:tcPr>
            <w:tcW w:w="2339" w:type="dxa"/>
            <w:tcBorders>
              <w:top w:val="nil"/>
              <w:left w:val="nil"/>
              <w:bottom w:val="single" w:color="auto" w:sz="4" w:space="0"/>
              <w:right w:val="single" w:color="auto" w:sz="4" w:space="0"/>
            </w:tcBorders>
            <w:shd w:val="clear" w:color="000000" w:fill="FFFFFF"/>
            <w:vAlign w:val="center"/>
          </w:tcPr>
          <w:p>
            <w:pPr>
              <w:widowControl/>
              <w:spacing w:line="560" w:lineRule="exact"/>
              <w:jc w:val="left"/>
              <w:rPr>
                <w:rFonts w:ascii="Times New Roman" w:hAnsi="Times New Roman" w:eastAsia="仿宋"/>
                <w:color w:val="000000"/>
                <w:kern w:val="0"/>
                <w:sz w:val="24"/>
                <w:szCs w:val="24"/>
              </w:rPr>
            </w:pPr>
            <w:r>
              <w:rPr>
                <w:rFonts w:ascii="Times New Roman" w:hAnsi="Times New Roman" w:eastAsia="仿宋"/>
                <w:color w:val="000000"/>
                <w:kern w:val="0"/>
                <w:sz w:val="24"/>
                <w:szCs w:val="24"/>
              </w:rPr>
              <w:t>人员经费政策性调增。</w:t>
            </w:r>
          </w:p>
        </w:tc>
      </w:tr>
      <w:tr>
        <w:tblPrEx>
          <w:tblCellMar>
            <w:top w:w="0" w:type="dxa"/>
            <w:left w:w="108" w:type="dxa"/>
            <w:bottom w:w="0" w:type="dxa"/>
            <w:right w:w="108" w:type="dxa"/>
          </w:tblCellMar>
        </w:tblPrEx>
        <w:trPr>
          <w:trHeight w:val="855" w:hRule="atLeast"/>
        </w:trPr>
        <w:tc>
          <w:tcPr>
            <w:tcW w:w="1676" w:type="dxa"/>
            <w:tcBorders>
              <w:top w:val="nil"/>
              <w:left w:val="single" w:color="auto" w:sz="4" w:space="0"/>
              <w:bottom w:val="single" w:color="auto" w:sz="4" w:space="0"/>
              <w:right w:val="single" w:color="auto" w:sz="4" w:space="0"/>
            </w:tcBorders>
            <w:shd w:val="clear" w:color="000000" w:fill="FFFFFF"/>
            <w:vAlign w:val="center"/>
          </w:tcPr>
          <w:p>
            <w:pPr>
              <w:widowControl/>
              <w:spacing w:line="560" w:lineRule="exact"/>
              <w:jc w:val="left"/>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4、资本性支出</w:t>
            </w:r>
          </w:p>
        </w:tc>
        <w:tc>
          <w:tcPr>
            <w:tcW w:w="1229"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33.12</w:t>
            </w:r>
          </w:p>
        </w:tc>
        <w:tc>
          <w:tcPr>
            <w:tcW w:w="1249"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128.44</w:t>
            </w:r>
          </w:p>
        </w:tc>
        <w:tc>
          <w:tcPr>
            <w:tcW w:w="1123"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95.32</w:t>
            </w:r>
          </w:p>
        </w:tc>
        <w:tc>
          <w:tcPr>
            <w:tcW w:w="1209"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287.80%</w:t>
            </w:r>
          </w:p>
        </w:tc>
        <w:tc>
          <w:tcPr>
            <w:tcW w:w="2339" w:type="dxa"/>
            <w:tcBorders>
              <w:top w:val="nil"/>
              <w:left w:val="nil"/>
              <w:bottom w:val="single" w:color="auto" w:sz="4" w:space="0"/>
              <w:right w:val="single" w:color="auto" w:sz="4" w:space="0"/>
            </w:tcBorders>
            <w:shd w:val="clear" w:color="000000" w:fill="FFFFFF"/>
            <w:vAlign w:val="center"/>
          </w:tcPr>
          <w:p>
            <w:pPr>
              <w:widowControl/>
              <w:spacing w:line="560" w:lineRule="exact"/>
              <w:jc w:val="left"/>
              <w:rPr>
                <w:rFonts w:ascii="Times New Roman" w:hAnsi="Times New Roman" w:eastAsia="仿宋"/>
                <w:color w:val="000000"/>
                <w:kern w:val="0"/>
                <w:sz w:val="24"/>
                <w:szCs w:val="24"/>
              </w:rPr>
            </w:pPr>
            <w:r>
              <w:rPr>
                <w:rFonts w:ascii="Times New Roman" w:hAnsi="Times New Roman" w:eastAsia="仿宋"/>
                <w:color w:val="000000"/>
                <w:kern w:val="0"/>
                <w:sz w:val="24"/>
                <w:szCs w:val="24"/>
              </w:rPr>
              <w:t>老年大学房屋设备维修改造等支出增加。</w:t>
            </w:r>
          </w:p>
        </w:tc>
      </w:tr>
    </w:tbl>
    <w:p>
      <w:pPr>
        <w:autoSpaceDE w:val="0"/>
        <w:autoSpaceDN w:val="0"/>
        <w:adjustRightInd w:val="0"/>
        <w:spacing w:line="560" w:lineRule="exact"/>
        <w:rPr>
          <w:rFonts w:ascii="Times New Roman" w:hAnsi="Times New Roman" w:eastAsia="仿宋"/>
          <w:b/>
          <w:bCs/>
          <w:sz w:val="32"/>
          <w:szCs w:val="32"/>
        </w:rPr>
      </w:pPr>
    </w:p>
    <w:p>
      <w:pPr>
        <w:spacing w:line="560" w:lineRule="exact"/>
        <w:ind w:firstLine="640" w:firstLineChars="200"/>
        <w:rPr>
          <w:rFonts w:ascii="Times New Roman" w:hAnsi="Times New Roman" w:eastAsia="仿宋"/>
          <w:b/>
          <w:color w:val="000000"/>
          <w:sz w:val="32"/>
          <w:szCs w:val="32"/>
        </w:rPr>
      </w:pPr>
      <w:r>
        <w:rPr>
          <w:rFonts w:ascii="Times New Roman" w:hAnsi="Times New Roman" w:eastAsia="仿宋"/>
          <w:b/>
          <w:color w:val="000000"/>
          <w:sz w:val="32"/>
          <w:szCs w:val="32"/>
        </w:rPr>
        <w:t>（三） “三公经费”支出使用和管理情况</w:t>
      </w:r>
    </w:p>
    <w:tbl>
      <w:tblPr>
        <w:tblStyle w:val="4"/>
        <w:tblW w:w="8522" w:type="dxa"/>
        <w:tblInd w:w="91" w:type="dxa"/>
        <w:tblLayout w:type="autofit"/>
        <w:tblCellMar>
          <w:top w:w="0" w:type="dxa"/>
          <w:left w:w="108" w:type="dxa"/>
          <w:bottom w:w="0" w:type="dxa"/>
          <w:right w:w="108" w:type="dxa"/>
        </w:tblCellMar>
      </w:tblPr>
      <w:tblGrid>
        <w:gridCol w:w="1080"/>
        <w:gridCol w:w="1080"/>
        <w:gridCol w:w="1080"/>
        <w:gridCol w:w="1080"/>
        <w:gridCol w:w="1080"/>
        <w:gridCol w:w="3122"/>
      </w:tblGrid>
      <w:tr>
        <w:tblPrEx>
          <w:tblCellMar>
            <w:top w:w="0" w:type="dxa"/>
            <w:left w:w="108" w:type="dxa"/>
            <w:bottom w:w="0" w:type="dxa"/>
            <w:right w:w="108" w:type="dxa"/>
          </w:tblCellMar>
        </w:tblPrEx>
        <w:trPr>
          <w:trHeight w:val="1230"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项目</w:t>
            </w:r>
          </w:p>
        </w:tc>
        <w:tc>
          <w:tcPr>
            <w:tcW w:w="1080"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2019年决算数据</w:t>
            </w:r>
          </w:p>
        </w:tc>
        <w:tc>
          <w:tcPr>
            <w:tcW w:w="1080"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2020年决算数据</w:t>
            </w:r>
          </w:p>
        </w:tc>
        <w:tc>
          <w:tcPr>
            <w:tcW w:w="1080"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增减额</w:t>
            </w:r>
          </w:p>
        </w:tc>
        <w:tc>
          <w:tcPr>
            <w:tcW w:w="1080"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增减比例</w:t>
            </w:r>
          </w:p>
        </w:tc>
        <w:tc>
          <w:tcPr>
            <w:tcW w:w="3122"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变动原因</w:t>
            </w:r>
          </w:p>
        </w:tc>
      </w:tr>
      <w:tr>
        <w:tblPrEx>
          <w:tblCellMar>
            <w:top w:w="0" w:type="dxa"/>
            <w:left w:w="108" w:type="dxa"/>
            <w:bottom w:w="0" w:type="dxa"/>
            <w:right w:w="108" w:type="dxa"/>
          </w:tblCellMar>
        </w:tblPrEx>
        <w:trPr>
          <w:trHeight w:val="1233"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公务接待费</w:t>
            </w:r>
          </w:p>
        </w:tc>
        <w:tc>
          <w:tcPr>
            <w:tcW w:w="1080"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30.4</w:t>
            </w:r>
          </w:p>
        </w:tc>
        <w:tc>
          <w:tcPr>
            <w:tcW w:w="1080"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18.74</w:t>
            </w:r>
          </w:p>
        </w:tc>
        <w:tc>
          <w:tcPr>
            <w:tcW w:w="1080"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-11.66</w:t>
            </w:r>
          </w:p>
        </w:tc>
        <w:tc>
          <w:tcPr>
            <w:tcW w:w="1080"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-38%</w:t>
            </w:r>
          </w:p>
        </w:tc>
        <w:tc>
          <w:tcPr>
            <w:tcW w:w="3122" w:type="dxa"/>
            <w:tcBorders>
              <w:top w:val="nil"/>
              <w:left w:val="nil"/>
              <w:bottom w:val="single" w:color="auto" w:sz="4" w:space="0"/>
              <w:right w:val="single" w:color="auto" w:sz="4" w:space="0"/>
            </w:tcBorders>
            <w:shd w:val="clear" w:color="000000" w:fill="FFFFFF"/>
            <w:vAlign w:val="center"/>
          </w:tcPr>
          <w:p>
            <w:pPr>
              <w:widowControl/>
              <w:spacing w:line="560" w:lineRule="exact"/>
              <w:jc w:val="left"/>
              <w:rPr>
                <w:rFonts w:ascii="Times New Roman" w:hAnsi="Times New Roman" w:eastAsia="仿宋"/>
                <w:color w:val="000000"/>
                <w:kern w:val="0"/>
                <w:sz w:val="24"/>
                <w:szCs w:val="24"/>
              </w:rPr>
            </w:pPr>
            <w:r>
              <w:rPr>
                <w:rFonts w:ascii="Times New Roman" w:hAnsi="Times New Roman" w:eastAsia="仿宋"/>
                <w:color w:val="000000"/>
                <w:kern w:val="0"/>
                <w:sz w:val="24"/>
                <w:szCs w:val="24"/>
              </w:rPr>
              <w:t>因疫情影响公务接待减少，政策性压缩。</w:t>
            </w:r>
          </w:p>
        </w:tc>
      </w:tr>
      <w:tr>
        <w:tblPrEx>
          <w:tblCellMar>
            <w:top w:w="0" w:type="dxa"/>
            <w:left w:w="108" w:type="dxa"/>
            <w:bottom w:w="0" w:type="dxa"/>
            <w:right w:w="108" w:type="dxa"/>
          </w:tblCellMar>
        </w:tblPrEx>
        <w:trPr>
          <w:trHeight w:val="96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公车运行费</w:t>
            </w:r>
          </w:p>
        </w:tc>
        <w:tc>
          <w:tcPr>
            <w:tcW w:w="1080"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27.78</w:t>
            </w:r>
          </w:p>
        </w:tc>
        <w:tc>
          <w:tcPr>
            <w:tcW w:w="1080"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21.92</w:t>
            </w:r>
          </w:p>
        </w:tc>
        <w:tc>
          <w:tcPr>
            <w:tcW w:w="1080"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-5.86</w:t>
            </w:r>
          </w:p>
        </w:tc>
        <w:tc>
          <w:tcPr>
            <w:tcW w:w="1080" w:type="dxa"/>
            <w:tcBorders>
              <w:top w:val="nil"/>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-21%</w:t>
            </w:r>
          </w:p>
        </w:tc>
        <w:tc>
          <w:tcPr>
            <w:tcW w:w="3122" w:type="dxa"/>
            <w:tcBorders>
              <w:top w:val="nil"/>
              <w:left w:val="nil"/>
              <w:bottom w:val="single" w:color="auto" w:sz="4" w:space="0"/>
              <w:right w:val="single" w:color="auto" w:sz="4" w:space="0"/>
            </w:tcBorders>
            <w:shd w:val="clear" w:color="000000" w:fill="FFFFFF"/>
            <w:vAlign w:val="center"/>
          </w:tcPr>
          <w:p>
            <w:pPr>
              <w:widowControl/>
              <w:spacing w:line="560" w:lineRule="exact"/>
              <w:jc w:val="left"/>
              <w:rPr>
                <w:rFonts w:ascii="Times New Roman" w:hAnsi="Times New Roman" w:eastAsia="仿宋"/>
                <w:color w:val="000000"/>
                <w:kern w:val="0"/>
                <w:sz w:val="24"/>
                <w:szCs w:val="24"/>
              </w:rPr>
            </w:pPr>
            <w:r>
              <w:rPr>
                <w:rFonts w:ascii="Times New Roman" w:hAnsi="Times New Roman" w:eastAsia="仿宋"/>
                <w:color w:val="000000"/>
                <w:kern w:val="0"/>
                <w:sz w:val="24"/>
                <w:szCs w:val="24"/>
              </w:rPr>
              <w:t>因疫情影响出车减少，政策性压缩。</w:t>
            </w:r>
          </w:p>
        </w:tc>
      </w:tr>
      <w:tr>
        <w:tblPrEx>
          <w:tblCellMar>
            <w:top w:w="0" w:type="dxa"/>
            <w:left w:w="108" w:type="dxa"/>
            <w:bottom w:w="0" w:type="dxa"/>
            <w:right w:w="108" w:type="dxa"/>
          </w:tblCellMar>
        </w:tblPrEx>
        <w:trPr>
          <w:trHeight w:val="1035"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因公出国（境）</w:t>
            </w:r>
          </w:p>
        </w:tc>
        <w:tc>
          <w:tcPr>
            <w:tcW w:w="1080"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0</w:t>
            </w:r>
          </w:p>
        </w:tc>
        <w:tc>
          <w:tcPr>
            <w:tcW w:w="1080"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0</w:t>
            </w:r>
          </w:p>
        </w:tc>
        <w:tc>
          <w:tcPr>
            <w:tcW w:w="1080"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0</w:t>
            </w:r>
          </w:p>
        </w:tc>
        <w:tc>
          <w:tcPr>
            <w:tcW w:w="1080"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　</w:t>
            </w:r>
          </w:p>
        </w:tc>
        <w:tc>
          <w:tcPr>
            <w:tcW w:w="3122"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left"/>
              <w:rPr>
                <w:rFonts w:ascii="Times New Roman" w:hAnsi="Times New Roman" w:eastAsia="仿宋"/>
                <w:color w:val="000000"/>
                <w:kern w:val="0"/>
                <w:sz w:val="24"/>
                <w:szCs w:val="24"/>
              </w:rPr>
            </w:pPr>
            <w:r>
              <w:rPr>
                <w:rFonts w:ascii="Times New Roman" w:hAnsi="Times New Roman" w:eastAsia="仿宋"/>
                <w:color w:val="000000"/>
                <w:kern w:val="0"/>
                <w:sz w:val="24"/>
                <w:szCs w:val="24"/>
              </w:rPr>
              <w:t>　</w:t>
            </w:r>
          </w:p>
        </w:tc>
      </w:tr>
      <w:tr>
        <w:tblPrEx>
          <w:tblCellMar>
            <w:top w:w="0" w:type="dxa"/>
            <w:left w:w="108" w:type="dxa"/>
            <w:bottom w:w="0" w:type="dxa"/>
            <w:right w:w="108" w:type="dxa"/>
          </w:tblCellMar>
        </w:tblPrEx>
        <w:trPr>
          <w:trHeight w:val="1035"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b/>
                <w:bCs/>
                <w:color w:val="000000"/>
                <w:kern w:val="0"/>
                <w:sz w:val="24"/>
                <w:szCs w:val="24"/>
              </w:rPr>
            </w:pPr>
            <w:r>
              <w:rPr>
                <w:rFonts w:ascii="Times New Roman" w:hAnsi="Times New Roman" w:eastAsia="仿宋"/>
                <w:b/>
                <w:bCs/>
                <w:color w:val="000000"/>
                <w:kern w:val="0"/>
                <w:sz w:val="24"/>
                <w:szCs w:val="24"/>
              </w:rPr>
              <w:t>合计</w:t>
            </w:r>
          </w:p>
        </w:tc>
        <w:tc>
          <w:tcPr>
            <w:tcW w:w="1080"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58.18</w:t>
            </w:r>
          </w:p>
        </w:tc>
        <w:tc>
          <w:tcPr>
            <w:tcW w:w="1080"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40.66</w:t>
            </w:r>
          </w:p>
        </w:tc>
        <w:tc>
          <w:tcPr>
            <w:tcW w:w="1080"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-17.52</w:t>
            </w:r>
          </w:p>
        </w:tc>
        <w:tc>
          <w:tcPr>
            <w:tcW w:w="1080"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-59%</w:t>
            </w:r>
          </w:p>
        </w:tc>
        <w:tc>
          <w:tcPr>
            <w:tcW w:w="3122" w:type="dxa"/>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left"/>
              <w:rPr>
                <w:rFonts w:ascii="Times New Roman" w:hAnsi="Times New Roman" w:eastAsia="仿宋"/>
                <w:color w:val="FF0000"/>
                <w:kern w:val="0"/>
                <w:sz w:val="24"/>
                <w:szCs w:val="24"/>
              </w:rPr>
            </w:pPr>
          </w:p>
        </w:tc>
      </w:tr>
    </w:tbl>
    <w:p>
      <w:pPr>
        <w:widowControl/>
        <w:spacing w:line="560" w:lineRule="exact"/>
        <w:ind w:firstLine="640"/>
        <w:rPr>
          <w:rFonts w:ascii="Times New Roman" w:hAnsi="Times New Roman" w:eastAsia="黑体"/>
          <w:color w:val="222222"/>
          <w:kern w:val="0"/>
          <w:sz w:val="32"/>
          <w:szCs w:val="32"/>
        </w:rPr>
      </w:pPr>
      <w:r>
        <w:rPr>
          <w:rFonts w:ascii="Times New Roman" w:hAnsi="Times New Roman" w:eastAsia="黑体"/>
          <w:color w:val="222222"/>
          <w:kern w:val="0"/>
          <w:sz w:val="32"/>
          <w:szCs w:val="32"/>
        </w:rPr>
        <w:t>三、部门绩效目标</w:t>
      </w:r>
    </w:p>
    <w:p>
      <w:pPr>
        <w:widowControl/>
        <w:spacing w:line="560" w:lineRule="exact"/>
        <w:ind w:firstLine="640"/>
        <w:rPr>
          <w:rFonts w:ascii="Times New Roman" w:hAnsi="Times New Roman" w:eastAsia="楷体"/>
          <w:color w:val="222222"/>
          <w:kern w:val="0"/>
          <w:sz w:val="32"/>
          <w:szCs w:val="32"/>
        </w:rPr>
      </w:pPr>
      <w:r>
        <w:rPr>
          <w:rFonts w:ascii="Times New Roman" w:hAnsi="Times New Roman" w:eastAsia="楷体"/>
          <w:color w:val="222222"/>
          <w:kern w:val="0"/>
          <w:sz w:val="32"/>
          <w:szCs w:val="32"/>
        </w:rPr>
        <w:t>（一）部门绩效总目标</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坚持以习近平新时代中国特色社会主义思想为指导，认真贯彻全国、全省老干部局长会议精神，坚决执行市委、市政府的决策部署，立足本职工作、服务中心大局，全面推进“三化建设”。</w:t>
      </w:r>
      <w:r>
        <w:rPr>
          <w:rFonts w:ascii="Times New Roman" w:hAnsi="Times New Roman" w:eastAsia="仿宋"/>
          <w:color w:val="000000"/>
          <w:kern w:val="0"/>
          <w:sz w:val="32"/>
          <w:szCs w:val="32"/>
        </w:rPr>
        <w:t>建设离退休干部党支部、老干部（老年）大学和涉老社团三位一体的网络组织体系，推动老干部各项工作的顺利落实，引导老干部在开放强市产业立市战略中帮智出力、发光发热。</w:t>
      </w:r>
    </w:p>
    <w:p>
      <w:pPr>
        <w:widowControl/>
        <w:spacing w:line="560" w:lineRule="exact"/>
        <w:ind w:firstLine="640"/>
        <w:rPr>
          <w:rFonts w:ascii="Times New Roman" w:hAnsi="Times New Roman" w:eastAsia="楷体"/>
          <w:color w:val="222222"/>
          <w:kern w:val="0"/>
          <w:sz w:val="32"/>
          <w:szCs w:val="32"/>
        </w:rPr>
      </w:pPr>
      <w:r>
        <w:rPr>
          <w:rFonts w:ascii="Times New Roman" w:hAnsi="Times New Roman" w:eastAsia="楷体"/>
          <w:color w:val="222222"/>
          <w:kern w:val="0"/>
          <w:sz w:val="32"/>
          <w:szCs w:val="32"/>
        </w:rPr>
        <w:t>（二）2020年度部门绩效目标</w:t>
      </w:r>
    </w:p>
    <w:p>
      <w:pPr>
        <w:spacing w:line="560" w:lineRule="exact"/>
        <w:ind w:firstLine="640" w:firstLineChars="200"/>
        <w:rPr>
          <w:rFonts w:ascii="Times New Roman" w:hAnsi="Times New Roman" w:eastAsia="仿宋"/>
          <w:b/>
          <w:color w:val="000000"/>
          <w:kern w:val="0"/>
          <w:sz w:val="32"/>
          <w:szCs w:val="32"/>
        </w:rPr>
      </w:pPr>
      <w:r>
        <w:rPr>
          <w:rFonts w:ascii="Times New Roman" w:hAnsi="Times New Roman" w:eastAsia="仿宋"/>
          <w:color w:val="000000"/>
          <w:kern w:val="0"/>
          <w:sz w:val="32"/>
          <w:szCs w:val="32"/>
        </w:rPr>
        <w:t>加强离退休干部学习教育，帮助解决晚年生活困难，保障落实各项权益，保持离退休干部队伍稳定。引导广大离退休干部增强“四个意识”、坚定“四个自信”、做到“两个维护”，更好地融入开放强市、产业立市大局中。</w:t>
      </w:r>
      <w:r>
        <w:rPr>
          <w:rFonts w:ascii="Times New Roman" w:hAnsi="Times New Roman" w:eastAsia="仿宋"/>
          <w:b/>
          <w:color w:val="000000"/>
          <w:kern w:val="0"/>
          <w:sz w:val="32"/>
          <w:szCs w:val="32"/>
        </w:rPr>
        <w:t xml:space="preserve"> </w:t>
      </w:r>
    </w:p>
    <w:p>
      <w:pPr>
        <w:spacing w:line="560" w:lineRule="exact"/>
        <w:ind w:firstLine="640" w:firstLineChars="200"/>
        <w:rPr>
          <w:rFonts w:ascii="Times New Roman" w:hAnsi="Times New Roman" w:eastAsia="仿宋"/>
          <w:color w:val="000000"/>
          <w:kern w:val="0"/>
          <w:sz w:val="32"/>
          <w:szCs w:val="32"/>
        </w:rPr>
      </w:pPr>
      <w:r>
        <w:rPr>
          <w:rFonts w:ascii="Times New Roman" w:hAnsi="Times New Roman" w:eastAsia="仿宋"/>
          <w:color w:val="000000"/>
          <w:kern w:val="0"/>
          <w:sz w:val="32"/>
          <w:szCs w:val="32"/>
        </w:rPr>
        <w:t>1.以各级离退休干部党组织、老干部（老年）大学和涉老组织为载体，为广大离退休干部开展关心下一代、老科协、文化交流、网络宣传等工作奉献余热搭建平台，在我市经济社会发展中贡献老干部力量。</w:t>
      </w:r>
    </w:p>
    <w:p>
      <w:pPr>
        <w:spacing w:line="560" w:lineRule="exact"/>
        <w:ind w:firstLine="640" w:firstLineChars="200"/>
        <w:rPr>
          <w:rFonts w:ascii="Times New Roman" w:hAnsi="Times New Roman" w:eastAsia="仿宋"/>
          <w:color w:val="000000"/>
          <w:kern w:val="0"/>
          <w:sz w:val="32"/>
          <w:szCs w:val="32"/>
        </w:rPr>
      </w:pPr>
      <w:r>
        <w:rPr>
          <w:rFonts w:ascii="Times New Roman" w:hAnsi="Times New Roman" w:eastAsia="仿宋"/>
          <w:color w:val="000000"/>
          <w:kern w:val="0"/>
          <w:sz w:val="32"/>
          <w:szCs w:val="32"/>
        </w:rPr>
        <w:t>2.为离退休干部和老年人晚年生活提供学习场所和娱乐平台，通过开展网络宣传、文艺汇演、知识讲座、书画作品、摄影展、体育活动等丰富多彩的活动，营造全社会老年人积极向上的社会氛围，向社会传递正能量。</w:t>
      </w:r>
    </w:p>
    <w:p>
      <w:pPr>
        <w:spacing w:line="560" w:lineRule="exact"/>
        <w:ind w:firstLine="640" w:firstLineChars="200"/>
        <w:rPr>
          <w:rFonts w:ascii="Times New Roman" w:hAnsi="Times New Roman" w:eastAsia="仿宋"/>
          <w:color w:val="000000"/>
          <w:kern w:val="0"/>
          <w:sz w:val="32"/>
          <w:szCs w:val="32"/>
        </w:rPr>
      </w:pPr>
      <w:r>
        <w:rPr>
          <w:rFonts w:ascii="Times New Roman" w:hAnsi="Times New Roman" w:eastAsia="仿宋"/>
          <w:color w:val="000000"/>
          <w:kern w:val="0"/>
          <w:sz w:val="32"/>
          <w:szCs w:val="32"/>
        </w:rPr>
        <w:t>3.关注离退休干部身心健康，开展丰富多彩的文化体育活动，普及保健知识，提高老干部的幸福指数；</w:t>
      </w:r>
    </w:p>
    <w:p>
      <w:pPr>
        <w:spacing w:line="560" w:lineRule="exact"/>
        <w:ind w:firstLine="640" w:firstLineChars="200"/>
        <w:rPr>
          <w:rFonts w:ascii="Times New Roman" w:hAnsi="Times New Roman" w:eastAsia="仿宋"/>
          <w:color w:val="000000"/>
          <w:kern w:val="0"/>
          <w:sz w:val="32"/>
          <w:szCs w:val="32"/>
        </w:rPr>
      </w:pPr>
      <w:r>
        <w:rPr>
          <w:rFonts w:ascii="Times New Roman" w:hAnsi="Times New Roman" w:eastAsia="仿宋"/>
          <w:color w:val="000000"/>
          <w:kern w:val="0"/>
          <w:sz w:val="32"/>
          <w:szCs w:val="32"/>
        </w:rPr>
        <w:t>4.预期主要的社会效益目标。社会效益指标：通过相关职能部门的政策落实以及相关会议的进一步召开，推动老干部政策落实落地，广大离退休干部围绕“开放强市，产业立市”大局,在宣传常德、推介常德、助力常德等各领域各方面释放正能量，使常德老干部工作收获社会评价，党委政府放心，老干部满意，社会各界认可。</w:t>
      </w:r>
    </w:p>
    <w:p>
      <w:pPr>
        <w:widowControl/>
        <w:spacing w:line="560" w:lineRule="exact"/>
        <w:ind w:firstLine="640"/>
        <w:rPr>
          <w:rFonts w:ascii="Times New Roman" w:hAnsi="Times New Roman" w:eastAsia="黑体"/>
          <w:color w:val="222222"/>
          <w:kern w:val="0"/>
          <w:sz w:val="32"/>
          <w:szCs w:val="32"/>
        </w:rPr>
      </w:pPr>
      <w:r>
        <w:rPr>
          <w:rFonts w:ascii="Times New Roman" w:hAnsi="Times New Roman" w:eastAsia="黑体"/>
          <w:color w:val="222222"/>
          <w:kern w:val="0"/>
          <w:sz w:val="32"/>
          <w:szCs w:val="32"/>
        </w:rPr>
        <w:t>四、绩效评价工作情况</w:t>
      </w:r>
    </w:p>
    <w:p>
      <w:pPr>
        <w:spacing w:line="560" w:lineRule="exact"/>
        <w:ind w:firstLine="640" w:firstLineChars="200"/>
        <w:rPr>
          <w:rFonts w:ascii="Times New Roman" w:hAnsi="Times New Roman" w:eastAsia="仿宋"/>
          <w:color w:val="000000"/>
          <w:kern w:val="0"/>
          <w:sz w:val="32"/>
          <w:szCs w:val="32"/>
        </w:rPr>
      </w:pPr>
      <w:r>
        <w:rPr>
          <w:rFonts w:ascii="Times New Roman" w:hAnsi="Times New Roman" w:eastAsia="仿宋"/>
          <w:color w:val="000000"/>
          <w:kern w:val="0"/>
          <w:sz w:val="32"/>
          <w:szCs w:val="32"/>
        </w:rPr>
        <w:t>为进一步增强本单位支出管理的责任，优化支出结构，提高财政资金使用效益，更好地履行职责，我单位成立了以分管财务工作局领导为组长的绩效评价工作组，科学客观地进行自我整体评价。在评价过程中，结合本单位实际情况，实施了积极与市财政对口科室的沟通请教，主动与责任第三方会计事务所联络对接，并听取各项目科室情况介绍，收集相关资料、自查财务会计记录等工作程序，确保了绩效评价工作按照相关文件精神执行不走样。</w:t>
      </w:r>
    </w:p>
    <w:p>
      <w:pPr>
        <w:widowControl/>
        <w:spacing w:line="560" w:lineRule="exact"/>
        <w:ind w:firstLine="640"/>
        <w:rPr>
          <w:rFonts w:ascii="Times New Roman" w:hAnsi="Times New Roman" w:eastAsia="黑体"/>
          <w:color w:val="222222"/>
          <w:kern w:val="0"/>
          <w:sz w:val="32"/>
          <w:szCs w:val="32"/>
        </w:rPr>
      </w:pPr>
      <w:r>
        <w:rPr>
          <w:rFonts w:ascii="Times New Roman" w:hAnsi="Times New Roman" w:eastAsia="黑体"/>
          <w:color w:val="222222"/>
          <w:kern w:val="0"/>
          <w:sz w:val="32"/>
          <w:szCs w:val="32"/>
        </w:rPr>
        <w:t>五、综合评价结果</w:t>
      </w:r>
    </w:p>
    <w:p>
      <w:pPr>
        <w:widowControl/>
        <w:spacing w:line="560" w:lineRule="exact"/>
        <w:ind w:firstLine="640"/>
        <w:rPr>
          <w:rFonts w:ascii="Times New Roman" w:hAnsi="Times New Roman" w:eastAsia="仿宋"/>
          <w:color w:val="000000"/>
          <w:kern w:val="0"/>
          <w:sz w:val="32"/>
          <w:szCs w:val="32"/>
        </w:rPr>
      </w:pPr>
      <w:r>
        <w:rPr>
          <w:rFonts w:ascii="Times New Roman" w:hAnsi="Times New Roman" w:eastAsia="仿宋"/>
          <w:color w:val="000000"/>
          <w:kern w:val="0"/>
          <w:sz w:val="32"/>
          <w:szCs w:val="32"/>
        </w:rPr>
        <w:t>项目决策合理，管理到位，完成及时，根据《部门整体支出绩效评价指标体系》评分，本次自评得分为97分，总体评价为“优秀”。</w:t>
      </w:r>
    </w:p>
    <w:p>
      <w:pPr>
        <w:widowControl/>
        <w:spacing w:line="560" w:lineRule="exact"/>
        <w:ind w:firstLine="640"/>
        <w:rPr>
          <w:rFonts w:ascii="Times New Roman" w:hAnsi="Times New Roman" w:eastAsia="黑体"/>
          <w:color w:val="222222"/>
          <w:kern w:val="0"/>
          <w:sz w:val="32"/>
          <w:szCs w:val="32"/>
        </w:rPr>
      </w:pPr>
      <w:r>
        <w:rPr>
          <w:rFonts w:ascii="Times New Roman" w:hAnsi="Times New Roman" w:eastAsia="黑体"/>
          <w:color w:val="222222"/>
          <w:kern w:val="0"/>
          <w:sz w:val="32"/>
          <w:szCs w:val="32"/>
        </w:rPr>
        <w:t>六、部门整体支出绩效情况</w:t>
      </w:r>
    </w:p>
    <w:p>
      <w:pPr>
        <w:widowControl/>
        <w:spacing w:line="560" w:lineRule="exact"/>
        <w:ind w:firstLine="640"/>
        <w:rPr>
          <w:rFonts w:ascii="Times New Roman" w:hAnsi="Times New Roman" w:eastAsia="仿宋"/>
          <w:color w:val="000000"/>
          <w:kern w:val="0"/>
          <w:sz w:val="32"/>
          <w:szCs w:val="32"/>
        </w:rPr>
      </w:pPr>
      <w:r>
        <w:rPr>
          <w:rFonts w:ascii="Times New Roman" w:hAnsi="Times New Roman" w:eastAsia="仿宋"/>
          <w:color w:val="000000"/>
          <w:kern w:val="0"/>
          <w:sz w:val="32"/>
          <w:szCs w:val="32"/>
        </w:rPr>
        <w:t>2020年，市关工委被授予“全国关心下一代工作先进集体”称号；市政协原主席刘春林获全国离退休干部先进个人荣誉称号；4个集体、8名老干部分别获得全省离退休干部先进集体、先进个人荣誉称号；7个党支部被评为全省示范离退休干部党支部。</w:t>
      </w:r>
    </w:p>
    <w:p>
      <w:pPr>
        <w:spacing w:line="560" w:lineRule="exact"/>
        <w:ind w:firstLine="640" w:firstLineChars="200"/>
        <w:rPr>
          <w:rFonts w:ascii="Times New Roman" w:hAnsi="Times New Roman" w:eastAsia="仿宋"/>
          <w:color w:val="000000"/>
          <w:kern w:val="0"/>
          <w:sz w:val="32"/>
          <w:szCs w:val="32"/>
        </w:rPr>
      </w:pPr>
      <w:r>
        <w:rPr>
          <w:rFonts w:ascii="Times New Roman" w:hAnsi="Times New Roman" w:eastAsia="楷体"/>
          <w:color w:val="222222"/>
          <w:kern w:val="0"/>
          <w:sz w:val="32"/>
          <w:szCs w:val="32"/>
        </w:rPr>
        <w:t>（一）党建引领持续强化。</w:t>
      </w:r>
      <w:r>
        <w:rPr>
          <w:rFonts w:ascii="Times New Roman" w:hAnsi="Times New Roman" w:eastAsia="仿宋"/>
          <w:color w:val="000000"/>
          <w:kern w:val="0"/>
          <w:sz w:val="32"/>
          <w:szCs w:val="32"/>
        </w:rPr>
        <w:t>1.强化了政治建设。组织离退休干部党员学习《习近平谈治国理政》第三卷、习近平</w:t>
      </w:r>
      <w:r>
        <w:rPr>
          <w:rFonts w:hint="eastAsia" w:ascii="Times New Roman" w:hAnsi="Times New Roman" w:eastAsia="仿宋"/>
          <w:color w:val="000000"/>
          <w:kern w:val="0"/>
          <w:sz w:val="32"/>
          <w:szCs w:val="32"/>
          <w:lang w:eastAsia="zh-CN"/>
        </w:rPr>
        <w:t>总书记</w:t>
      </w:r>
      <w:bookmarkStart w:id="1" w:name="_GoBack"/>
      <w:bookmarkEnd w:id="1"/>
      <w:r>
        <w:rPr>
          <w:rFonts w:ascii="Times New Roman" w:hAnsi="Times New Roman" w:eastAsia="仿宋"/>
          <w:color w:val="000000"/>
          <w:kern w:val="0"/>
          <w:sz w:val="32"/>
          <w:szCs w:val="32"/>
        </w:rPr>
        <w:t>系列重要讲话精神等。邀请国防科大杨成平教授为市直近400名副处级以上离退休干部授课。获全省“不忘初心、砥砺前行”知识竞答活动优秀组织奖（第1名）。2.强化了品牌建设。全市共创建“美在金秋”老党员之家91家，其中市直21家，区县（市）70家。市本级“美在金秋”老党员之家建设正在全力推进。新建了集排球训练、太极培训、门球比赛于一体的多功能运动场。3.强化了示范建设。深入推进全省示范离退休干部党支部创建和全市“五好”离退休干部党支部建设，15个集体、30名老干部分别被授予全市离退休干部先进集体、先进个人荣誉称号，19个党支部被授予全市“五好”离退休干部党支部荣誉称号。</w:t>
      </w:r>
    </w:p>
    <w:p>
      <w:pPr>
        <w:spacing w:line="560" w:lineRule="exact"/>
        <w:ind w:firstLine="640" w:firstLineChars="200"/>
        <w:rPr>
          <w:rFonts w:ascii="Times New Roman" w:hAnsi="Times New Roman" w:eastAsia="仿宋"/>
          <w:color w:val="000000"/>
          <w:kern w:val="0"/>
          <w:sz w:val="32"/>
          <w:szCs w:val="32"/>
        </w:rPr>
      </w:pPr>
      <w:r>
        <w:rPr>
          <w:rFonts w:ascii="Times New Roman" w:hAnsi="Times New Roman" w:eastAsia="楷体"/>
          <w:color w:val="222222"/>
          <w:kern w:val="0"/>
          <w:sz w:val="32"/>
          <w:szCs w:val="32"/>
        </w:rPr>
        <w:t>（二）待遇落实精细精准。</w:t>
      </w:r>
      <w:r>
        <w:rPr>
          <w:rFonts w:ascii="Times New Roman" w:hAnsi="Times New Roman" w:eastAsia="仿宋"/>
          <w:color w:val="000000"/>
          <w:kern w:val="0"/>
          <w:sz w:val="32"/>
          <w:szCs w:val="32"/>
        </w:rPr>
        <w:t>1.政治尊重更多。优化了政情通报暨老干部迎春座谈会。组织全市厅级老干部参观考察市内、湘西重点产业项目。组织全市近2000名副处级以上离退休干部开展游艺活动。2.思想关心更深。开展了“孝行百家暖重阳”活动，上门慰问老干部204名；持续抓好离休干部“一人一策”服务；全年共接待老干部来电、来信、来访400余人次。3.待遇保障更优。将厅级离退休干部参观考察活动经费纳入了预算，提标了厅级离退休干部体检费。疫情期间开展了电话、短信、微信等“指尖”服务。利用“云看护”平台为老干部提供健康管理，发送短信2858条、电话回访646人次、上门回访90余人次。</w:t>
      </w:r>
    </w:p>
    <w:p>
      <w:pPr>
        <w:spacing w:line="560" w:lineRule="exact"/>
        <w:ind w:firstLine="640" w:firstLineChars="200"/>
        <w:rPr>
          <w:rFonts w:ascii="Times New Roman" w:hAnsi="Times New Roman" w:eastAsia="仿宋"/>
          <w:color w:val="000000"/>
          <w:kern w:val="0"/>
          <w:sz w:val="32"/>
          <w:szCs w:val="32"/>
        </w:rPr>
      </w:pPr>
      <w:r>
        <w:rPr>
          <w:rFonts w:ascii="Times New Roman" w:hAnsi="Times New Roman" w:eastAsia="楷体"/>
          <w:color w:val="222222"/>
          <w:kern w:val="0"/>
          <w:sz w:val="32"/>
          <w:szCs w:val="32"/>
        </w:rPr>
        <w:t>（三）关爱下一代坚实有力。</w:t>
      </w:r>
      <w:r>
        <w:rPr>
          <w:rFonts w:ascii="Times New Roman" w:hAnsi="Times New Roman" w:eastAsia="仿宋"/>
          <w:color w:val="000000"/>
          <w:kern w:val="0"/>
          <w:sz w:val="32"/>
          <w:szCs w:val="32"/>
        </w:rPr>
        <w:t>1.领导重视有氛围。市委常委会专题听取了关心下一代工作情况。省关工委主任杨泰波、副主任武吉海多次来常调研，授予石门县南北镇薛家村王新法党性教育基地、石门县逸迩阁书院、市东方红博物馆、桃花源国防教育基地“湖南省关心下一代教育示范基地”称号。2.立德树人有成效。围绕“传承红色基因、争做时代新人”主题，收录整理了红色家书、开展了社会主义核心价值观教育、组建了一支隔代家庭教育报告团。3.关心关爱有力度。积极推进石门县薛家村省级留守儿童之家项目建设，争取项目资金100万元。积极衔接中国关工委实施的“爱心音乐教室”项目，为武陵区10所幼儿园争取到价值20万元的音乐教学器材。</w:t>
      </w:r>
    </w:p>
    <w:p>
      <w:pPr>
        <w:widowControl/>
        <w:spacing w:line="560" w:lineRule="exact"/>
        <w:ind w:firstLine="640"/>
        <w:rPr>
          <w:rFonts w:ascii="Times New Roman" w:hAnsi="Times New Roman" w:eastAsia="仿宋"/>
          <w:color w:val="000000"/>
          <w:kern w:val="0"/>
          <w:sz w:val="32"/>
          <w:szCs w:val="32"/>
        </w:rPr>
      </w:pPr>
      <w:r>
        <w:rPr>
          <w:rFonts w:ascii="Times New Roman" w:hAnsi="Times New Roman" w:eastAsia="楷体"/>
          <w:color w:val="222222"/>
          <w:kern w:val="0"/>
          <w:sz w:val="32"/>
          <w:szCs w:val="32"/>
        </w:rPr>
        <w:t>（四）服务中心成效明显。</w:t>
      </w:r>
      <w:r>
        <w:rPr>
          <w:rFonts w:ascii="Times New Roman" w:hAnsi="Times New Roman" w:eastAsia="仿宋"/>
          <w:color w:val="000000"/>
          <w:kern w:val="0"/>
          <w:sz w:val="32"/>
          <w:szCs w:val="32"/>
        </w:rPr>
        <w:t>1.在疫情防控中做表率。“万元夫妻”郑德淦、陈世平夫妇分别向自己所在的党组织捐款1万元；市政协原副主席张新民网上发文抗疫的事迹被中组部老干部局宣传；市老干部网宣协会会员发文发帖4000余篇，抗击疫情的作为得到了市委、市政府的高度赞赏和市委主要领导的亲笔批示。2.在脱贫攻坚中讲作为。全市500多个离退休干部党支部、上万名离退休干部党员集中开展“我看脱贫攻坚新成就”主题党日活动。市老科协积极创建科技示范园点户，以科技示范带动现代农业发展。市老摄影家协会举行“聚焦乡村振兴”志愿服务活动，拍摄了2600多幅优秀作品。3.在基层治理中献余热。武陵区组建14支“武陵红”老党员志愿者队伍，澧县400多名老同志组成“五老轻骑队”，津市市“红管家”工作室打造8支爱心服务队伍，老同志在矛盾纠纷化解、特殊人群服务等方面发挥作用。</w:t>
      </w:r>
    </w:p>
    <w:p>
      <w:pPr>
        <w:widowControl/>
        <w:spacing w:line="560" w:lineRule="exact"/>
        <w:ind w:firstLine="640"/>
        <w:rPr>
          <w:rFonts w:ascii="Times New Roman" w:hAnsi="Times New Roman" w:eastAsia="仿宋"/>
          <w:color w:val="000000"/>
          <w:kern w:val="0"/>
          <w:sz w:val="32"/>
          <w:szCs w:val="32"/>
        </w:rPr>
      </w:pPr>
      <w:r>
        <w:rPr>
          <w:rFonts w:ascii="Times New Roman" w:hAnsi="Times New Roman" w:eastAsia="仿宋"/>
          <w:color w:val="000000"/>
          <w:kern w:val="0"/>
          <w:sz w:val="32"/>
          <w:szCs w:val="32"/>
        </w:rPr>
        <w:t>项目完成后，对社会具有持续影响。如老年大学各类培训班、各涉老社团的活动、各团体的义务演出、志愿者形象在离退休干部中和社会上引起了强烈的反响，树立了正面导向，传递了正能量，有利于社会稳定和谐，营造了积极向上的社会风气。</w:t>
      </w:r>
    </w:p>
    <w:p>
      <w:pPr>
        <w:widowControl/>
        <w:spacing w:line="560" w:lineRule="exact"/>
        <w:ind w:firstLine="640"/>
        <w:rPr>
          <w:rFonts w:ascii="Times New Roman" w:hAnsi="Times New Roman" w:eastAsia="黑体"/>
          <w:color w:val="222222"/>
          <w:kern w:val="0"/>
          <w:sz w:val="32"/>
          <w:szCs w:val="32"/>
        </w:rPr>
      </w:pPr>
      <w:r>
        <w:rPr>
          <w:rFonts w:ascii="Times New Roman" w:hAnsi="Times New Roman" w:eastAsia="黑体"/>
          <w:color w:val="222222"/>
          <w:kern w:val="0"/>
          <w:sz w:val="32"/>
          <w:szCs w:val="32"/>
        </w:rPr>
        <w:t>七、存在的主要问题及原因分析</w:t>
      </w:r>
    </w:p>
    <w:p>
      <w:pPr>
        <w:widowControl/>
        <w:spacing w:line="560" w:lineRule="exact"/>
        <w:ind w:firstLine="640"/>
        <w:rPr>
          <w:rFonts w:ascii="Times New Roman" w:hAnsi="Times New Roman" w:eastAsia="仿宋"/>
          <w:color w:val="000000"/>
          <w:kern w:val="0"/>
          <w:sz w:val="32"/>
          <w:szCs w:val="32"/>
        </w:rPr>
      </w:pPr>
      <w:r>
        <w:rPr>
          <w:rFonts w:ascii="Times New Roman" w:hAnsi="Times New Roman" w:eastAsia="仿宋"/>
          <w:color w:val="000000"/>
          <w:kern w:val="0"/>
          <w:sz w:val="32"/>
          <w:szCs w:val="32"/>
        </w:rPr>
        <w:t>由于项目资金中群众社团活动与创建经费，即十个涉老社团的活动经费，是由局财务按</w:t>
      </w:r>
      <w:r>
        <w:rPr>
          <w:rFonts w:hint="eastAsia" w:ascii="Times New Roman" w:hAnsi="Times New Roman" w:eastAsia="仿宋"/>
          <w:color w:val="000000"/>
          <w:kern w:val="0"/>
          <w:sz w:val="32"/>
          <w:szCs w:val="32"/>
        </w:rPr>
        <w:t>半年惯例</w:t>
      </w:r>
      <w:r>
        <w:rPr>
          <w:rFonts w:ascii="Times New Roman" w:hAnsi="Times New Roman" w:eastAsia="仿宋"/>
          <w:color w:val="000000"/>
          <w:kern w:val="0"/>
          <w:sz w:val="32"/>
          <w:szCs w:val="32"/>
        </w:rPr>
        <w:t>拨付支出，支出情况每年组织一次内审，在经费支出</w:t>
      </w:r>
      <w:r>
        <w:rPr>
          <w:rFonts w:hint="eastAsia" w:ascii="Times New Roman" w:hAnsi="Times New Roman" w:eastAsia="仿宋"/>
          <w:color w:val="000000"/>
          <w:kern w:val="0"/>
          <w:sz w:val="32"/>
          <w:szCs w:val="32"/>
        </w:rPr>
        <w:t>使用</w:t>
      </w:r>
      <w:r>
        <w:rPr>
          <w:rFonts w:ascii="Times New Roman" w:hAnsi="Times New Roman" w:eastAsia="仿宋"/>
          <w:color w:val="000000"/>
          <w:kern w:val="0"/>
          <w:sz w:val="32"/>
          <w:szCs w:val="32"/>
        </w:rPr>
        <w:t>的过程中，对十个涉老社团</w:t>
      </w:r>
      <w:r>
        <w:rPr>
          <w:rFonts w:hint="eastAsia" w:ascii="Times New Roman" w:hAnsi="Times New Roman" w:eastAsia="仿宋"/>
          <w:color w:val="000000"/>
          <w:kern w:val="0"/>
          <w:sz w:val="32"/>
          <w:szCs w:val="32"/>
        </w:rPr>
        <w:t>及时加强</w:t>
      </w:r>
      <w:r>
        <w:rPr>
          <w:rFonts w:ascii="Times New Roman" w:hAnsi="Times New Roman" w:eastAsia="仿宋"/>
          <w:color w:val="000000"/>
          <w:kern w:val="0"/>
          <w:sz w:val="32"/>
          <w:szCs w:val="32"/>
        </w:rPr>
        <w:t>监管</w:t>
      </w:r>
      <w:r>
        <w:rPr>
          <w:rFonts w:hint="eastAsia" w:ascii="Times New Roman" w:hAnsi="Times New Roman" w:eastAsia="仿宋"/>
          <w:color w:val="000000"/>
          <w:kern w:val="0"/>
          <w:sz w:val="32"/>
          <w:szCs w:val="32"/>
        </w:rPr>
        <w:t>欠力度</w:t>
      </w:r>
      <w:r>
        <w:rPr>
          <w:rFonts w:ascii="Times New Roman" w:hAnsi="Times New Roman" w:eastAsia="仿宋"/>
          <w:color w:val="000000"/>
          <w:kern w:val="0"/>
          <w:sz w:val="32"/>
          <w:szCs w:val="32"/>
        </w:rPr>
        <w:t>。</w:t>
      </w:r>
    </w:p>
    <w:p>
      <w:pPr>
        <w:widowControl/>
        <w:spacing w:line="560" w:lineRule="exact"/>
        <w:ind w:firstLine="640"/>
        <w:rPr>
          <w:rFonts w:ascii="Times New Roman" w:hAnsi="Times New Roman" w:eastAsia="黑体"/>
          <w:color w:val="222222"/>
          <w:kern w:val="0"/>
          <w:sz w:val="32"/>
          <w:szCs w:val="32"/>
        </w:rPr>
      </w:pPr>
      <w:r>
        <w:rPr>
          <w:rFonts w:ascii="Times New Roman" w:hAnsi="Times New Roman" w:eastAsia="黑体"/>
          <w:color w:val="222222"/>
          <w:kern w:val="0"/>
          <w:sz w:val="32"/>
          <w:szCs w:val="32"/>
        </w:rPr>
        <w:t>八、有关建议</w:t>
      </w:r>
    </w:p>
    <w:p>
      <w:pPr>
        <w:widowControl/>
        <w:spacing w:line="560" w:lineRule="exact"/>
        <w:ind w:firstLine="640"/>
        <w:rPr>
          <w:rFonts w:ascii="Times New Roman" w:hAnsi="Times New Roman" w:eastAsia="仿宋"/>
          <w:sz w:val="32"/>
          <w:szCs w:val="32"/>
        </w:rPr>
      </w:pPr>
      <w:r>
        <w:rPr>
          <w:rFonts w:ascii="Times New Roman" w:hAnsi="Times New Roman" w:eastAsia="仿宋"/>
          <w:sz w:val="32"/>
          <w:szCs w:val="32"/>
        </w:rPr>
        <w:t>（一）对按进度拨付给各涉老社团的活动经费，实行不定期指导和检查。</w:t>
      </w:r>
    </w:p>
    <w:p>
      <w:pPr>
        <w:widowControl/>
        <w:spacing w:line="560" w:lineRule="exact"/>
        <w:ind w:firstLine="640"/>
        <w:rPr>
          <w:rFonts w:ascii="Times New Roman" w:hAnsi="Times New Roman" w:eastAsia="仿宋"/>
          <w:sz w:val="32"/>
          <w:szCs w:val="32"/>
        </w:rPr>
      </w:pPr>
      <w:r>
        <w:rPr>
          <w:rFonts w:ascii="Times New Roman" w:hAnsi="Times New Roman" w:eastAsia="仿宋"/>
          <w:sz w:val="32"/>
          <w:szCs w:val="32"/>
        </w:rPr>
        <w:t>（二）根据项目实际情况，合理制定项目专项管理制度，规范项目实施程序，保证资金使用效益。</w:t>
      </w:r>
    </w:p>
    <w:p>
      <w:pPr>
        <w:widowControl/>
        <w:spacing w:line="560" w:lineRule="exact"/>
        <w:ind w:firstLine="640"/>
        <w:rPr>
          <w:rFonts w:ascii="Times New Roman" w:hAnsi="Times New Roman" w:eastAsia="仿宋"/>
          <w:sz w:val="32"/>
          <w:szCs w:val="32"/>
        </w:rPr>
      </w:pPr>
      <w:r>
        <w:rPr>
          <w:rFonts w:ascii="Times New Roman" w:hAnsi="Times New Roman" w:eastAsia="仿宋"/>
          <w:sz w:val="32"/>
          <w:szCs w:val="32"/>
        </w:rPr>
        <w:t>（三）完善专项经费管理制度，增强操作性和监管力度。</w:t>
      </w:r>
    </w:p>
    <w:p>
      <w:pPr>
        <w:spacing w:line="560" w:lineRule="exact"/>
        <w:ind w:firstLine="4160" w:firstLineChars="1300"/>
        <w:rPr>
          <w:rFonts w:ascii="Times New Roman" w:hAnsi="Times New Roman" w:eastAsia="仿宋"/>
          <w:sz w:val="32"/>
          <w:szCs w:val="32"/>
        </w:rPr>
      </w:pPr>
    </w:p>
    <w:p>
      <w:pPr>
        <w:spacing w:line="560" w:lineRule="exact"/>
        <w:ind w:firstLine="4160" w:firstLineChars="1300"/>
        <w:rPr>
          <w:rFonts w:ascii="Times New Roman" w:hAnsi="Times New Roman" w:eastAsia="仿宋"/>
          <w:color w:val="000000"/>
          <w:kern w:val="0"/>
          <w:sz w:val="32"/>
          <w:szCs w:val="32"/>
        </w:rPr>
      </w:pPr>
    </w:p>
    <w:p>
      <w:pPr>
        <w:autoSpaceDE w:val="0"/>
        <w:autoSpaceDN w:val="0"/>
        <w:adjustRightInd w:val="0"/>
        <w:spacing w:line="560" w:lineRule="exact"/>
        <w:rPr>
          <w:rFonts w:ascii="Times New Roman" w:hAnsi="Times New Roman" w:eastAsia="仿宋"/>
          <w:b/>
          <w:bCs/>
          <w:sz w:val="32"/>
          <w:szCs w:val="32"/>
        </w:rPr>
      </w:pPr>
      <w:r>
        <w:rPr>
          <w:rFonts w:ascii="Times New Roman" w:hAnsi="Times New Roman" w:eastAsia="仿宋"/>
          <w:b/>
          <w:bCs/>
          <w:sz w:val="32"/>
          <w:szCs w:val="32"/>
        </w:rPr>
        <w:t xml:space="preserve">                               </w:t>
      </w:r>
    </w:p>
    <w:p>
      <w:pPr>
        <w:widowControl/>
        <w:spacing w:line="560" w:lineRule="exact"/>
        <w:ind w:firstLine="640"/>
        <w:rPr>
          <w:rFonts w:ascii="Times New Roman" w:hAnsi="Times New Roman" w:eastAsia="仿宋"/>
          <w:color w:val="000000"/>
          <w:sz w:val="32"/>
          <w:szCs w:val="32"/>
        </w:rPr>
      </w:pPr>
    </w:p>
    <w:p>
      <w:pPr>
        <w:ind w:firstLine="640" w:firstLineChars="200"/>
        <w:jc w:val="left"/>
        <w:rPr>
          <w:rFonts w:ascii="宋体" w:cs="黑体"/>
          <w:color w:val="000000"/>
          <w:kern w:val="0"/>
          <w:sz w:val="32"/>
          <w:szCs w:val="32"/>
        </w:rPr>
      </w:pPr>
    </w:p>
    <w:p/>
    <w:sectPr>
      <w:headerReference r:id="rId3" w:type="default"/>
      <w:pgSz w:w="11906" w:h="16838"/>
      <w:pgMar w:top="1417" w:right="1417" w:bottom="1134" w:left="1417" w:header="851" w:footer="992" w:gutter="0"/>
      <w:cols w:space="720" w:num="1"/>
      <w:docGrid w:type="linesAndChar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CESI黑体-GB18030">
    <w:panose1 w:val="02000500000000000000"/>
    <w:charset w:val="86"/>
    <w:family w:val="auto"/>
    <w:pitch w:val="default"/>
    <w:sig w:usb0="A00002BF" w:usb1="38C77CFA" w:usb2="00000016" w:usb3="00000000" w:csb0="0004000F" w:csb1="00000000"/>
  </w:font>
  <w:font w:name="CESI楷体-GB2312">
    <w:panose1 w:val="02000500000000000000"/>
    <w:charset w:val="86"/>
    <w:family w:val="auto"/>
    <w:pitch w:val="default"/>
    <w:sig w:usb0="800002BF" w:usb1="184F6CF8" w:usb2="00000012" w:usb3="00000000" w:csb0="0004000F" w:csb1="00000000"/>
  </w:font>
  <w:font w:name="英章行书">
    <w:panose1 w:val="0201060004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3F89"/>
    <w:rsid w:val="0002463E"/>
    <w:rsid w:val="00025D38"/>
    <w:rsid w:val="000403B7"/>
    <w:rsid w:val="0004578F"/>
    <w:rsid w:val="00056CFF"/>
    <w:rsid w:val="0008066D"/>
    <w:rsid w:val="00080932"/>
    <w:rsid w:val="00081F58"/>
    <w:rsid w:val="000B0731"/>
    <w:rsid w:val="000C4202"/>
    <w:rsid w:val="000F4807"/>
    <w:rsid w:val="001155B0"/>
    <w:rsid w:val="00185011"/>
    <w:rsid w:val="001E3DE3"/>
    <w:rsid w:val="001F05F2"/>
    <w:rsid w:val="002174FA"/>
    <w:rsid w:val="00233329"/>
    <w:rsid w:val="00246125"/>
    <w:rsid w:val="002C4606"/>
    <w:rsid w:val="002E620D"/>
    <w:rsid w:val="002E7EEF"/>
    <w:rsid w:val="002F0D61"/>
    <w:rsid w:val="0031082C"/>
    <w:rsid w:val="00351C58"/>
    <w:rsid w:val="003929A5"/>
    <w:rsid w:val="003D25FE"/>
    <w:rsid w:val="003E1055"/>
    <w:rsid w:val="00460E6C"/>
    <w:rsid w:val="00474971"/>
    <w:rsid w:val="0048040B"/>
    <w:rsid w:val="00485E23"/>
    <w:rsid w:val="00496CD8"/>
    <w:rsid w:val="004A6D58"/>
    <w:rsid w:val="004F4B9E"/>
    <w:rsid w:val="00505AEB"/>
    <w:rsid w:val="00515BFD"/>
    <w:rsid w:val="005565D1"/>
    <w:rsid w:val="00567475"/>
    <w:rsid w:val="00585638"/>
    <w:rsid w:val="00594AA0"/>
    <w:rsid w:val="005D427F"/>
    <w:rsid w:val="005D65D5"/>
    <w:rsid w:val="005D6BE3"/>
    <w:rsid w:val="005E5F35"/>
    <w:rsid w:val="005F7423"/>
    <w:rsid w:val="00641724"/>
    <w:rsid w:val="006470A2"/>
    <w:rsid w:val="00654D45"/>
    <w:rsid w:val="00656695"/>
    <w:rsid w:val="00685FAF"/>
    <w:rsid w:val="006B0285"/>
    <w:rsid w:val="006C333B"/>
    <w:rsid w:val="006C44D3"/>
    <w:rsid w:val="006E1323"/>
    <w:rsid w:val="007141D7"/>
    <w:rsid w:val="00726C60"/>
    <w:rsid w:val="00764295"/>
    <w:rsid w:val="00766387"/>
    <w:rsid w:val="007A76F7"/>
    <w:rsid w:val="007C1EAB"/>
    <w:rsid w:val="007E5631"/>
    <w:rsid w:val="007F3450"/>
    <w:rsid w:val="007F7F13"/>
    <w:rsid w:val="00816116"/>
    <w:rsid w:val="008332C2"/>
    <w:rsid w:val="00843140"/>
    <w:rsid w:val="00872F50"/>
    <w:rsid w:val="0089685E"/>
    <w:rsid w:val="008C2C68"/>
    <w:rsid w:val="008D2F8B"/>
    <w:rsid w:val="008F1A7B"/>
    <w:rsid w:val="008F5AC3"/>
    <w:rsid w:val="00901AD9"/>
    <w:rsid w:val="00907DAC"/>
    <w:rsid w:val="00912139"/>
    <w:rsid w:val="009463F2"/>
    <w:rsid w:val="00947512"/>
    <w:rsid w:val="009A2F43"/>
    <w:rsid w:val="009B3E08"/>
    <w:rsid w:val="009E3F89"/>
    <w:rsid w:val="00A25375"/>
    <w:rsid w:val="00A3148C"/>
    <w:rsid w:val="00A3645B"/>
    <w:rsid w:val="00A40DAA"/>
    <w:rsid w:val="00A51C1A"/>
    <w:rsid w:val="00AA73FA"/>
    <w:rsid w:val="00AF6066"/>
    <w:rsid w:val="00B30537"/>
    <w:rsid w:val="00B47D33"/>
    <w:rsid w:val="00B656E8"/>
    <w:rsid w:val="00B942A0"/>
    <w:rsid w:val="00B94A07"/>
    <w:rsid w:val="00BA42D5"/>
    <w:rsid w:val="00BB1CDE"/>
    <w:rsid w:val="00BC08F5"/>
    <w:rsid w:val="00C3166F"/>
    <w:rsid w:val="00C55687"/>
    <w:rsid w:val="00C5571F"/>
    <w:rsid w:val="00C849EA"/>
    <w:rsid w:val="00CA0D57"/>
    <w:rsid w:val="00CD2368"/>
    <w:rsid w:val="00CF3064"/>
    <w:rsid w:val="00D053C6"/>
    <w:rsid w:val="00D07BDA"/>
    <w:rsid w:val="00D111F6"/>
    <w:rsid w:val="00D230B7"/>
    <w:rsid w:val="00D97BEC"/>
    <w:rsid w:val="00DA2521"/>
    <w:rsid w:val="00DA5939"/>
    <w:rsid w:val="00DC0037"/>
    <w:rsid w:val="00E4719E"/>
    <w:rsid w:val="00E55F46"/>
    <w:rsid w:val="00E73EB0"/>
    <w:rsid w:val="00E805FD"/>
    <w:rsid w:val="00EA79FF"/>
    <w:rsid w:val="00EE616B"/>
    <w:rsid w:val="00EF3F99"/>
    <w:rsid w:val="00F077D0"/>
    <w:rsid w:val="00F322D8"/>
    <w:rsid w:val="00FA4776"/>
    <w:rsid w:val="00FB58CE"/>
    <w:rsid w:val="00FD0A62"/>
    <w:rsid w:val="00FF1E3F"/>
    <w:rsid w:val="00FF4D8D"/>
    <w:rsid w:val="4A4B4C95"/>
    <w:rsid w:val="F3FF5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0"/>
    <w:rPr>
      <w:sz w:val="18"/>
      <w:szCs w:val="18"/>
    </w:rPr>
  </w:style>
  <w:style w:type="character" w:customStyle="1" w:styleId="7">
    <w:name w:val="页脚 Char"/>
    <w:basedOn w:val="5"/>
    <w:link w:val="2"/>
    <w:semiHidden/>
    <w:qFormat/>
    <w:uiPriority w:val="99"/>
    <w:rPr>
      <w:sz w:val="18"/>
      <w:szCs w:val="18"/>
    </w:rPr>
  </w:style>
  <w:style w:type="paragraph" w:customStyle="1" w:styleId="8">
    <w:name w:val="List Paragraph1"/>
    <w:basedOn w:val="1"/>
    <w:qFormat/>
    <w:uiPriority w:val="0"/>
    <w:pPr>
      <w:ind w:firstLine="420" w:firstLineChars="200"/>
    </w:pPr>
  </w:style>
  <w:style w:type="paragraph" w:customStyle="1" w:styleId="9">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character" w:customStyle="1" w:styleId="10">
    <w:name w:val="NormalCharacter"/>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1636</Words>
  <Characters>9329</Characters>
  <Lines>77</Lines>
  <Paragraphs>21</Paragraphs>
  <TotalTime>635</TotalTime>
  <ScaleCrop>false</ScaleCrop>
  <LinksUpToDate>false</LinksUpToDate>
  <CharactersWithSpaces>10944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2021-08-26T17:35:00Z</dcterms:created>
  <dc:creator>PC</dc:creator>
  <cp:lastModifiedBy>greatwall</cp:lastModifiedBy>
  <cp:lastPrinted>2021-09-01T15:28:00Z</cp:lastPrinted>
  <dcterms:modified xsi:type="dcterms:W3CDTF">2024-09-26T10:45:39Z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3097D34E75964CE68673E2C519554D2E</vt:lpwstr>
  </property>
</Properties>
</file>